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096E" w14:textId="3E836EB7" w:rsidR="00685146" w:rsidRPr="007546E5" w:rsidRDefault="003C0CB1" w:rsidP="003C0CB1">
      <w:pPr>
        <w:jc w:val="center"/>
        <w:rPr>
          <w:rFonts w:ascii="Times New Roman" w:hAnsi="Times New Roman" w:cs="Times New Roman"/>
        </w:rPr>
      </w:pPr>
      <w:r w:rsidRPr="007546E5">
        <w:rPr>
          <w:rFonts w:ascii="Times New Roman" w:hAnsi="Times New Roman" w:cs="Times New Roman"/>
          <w:noProof/>
        </w:rPr>
        <w:drawing>
          <wp:inline distT="0" distB="0" distL="0" distR="0" wp14:anchorId="61F7294C" wp14:editId="61F82212">
            <wp:extent cx="1314450" cy="67627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676275"/>
                    </a:xfrm>
                    <a:prstGeom prst="rect">
                      <a:avLst/>
                    </a:prstGeom>
                    <a:noFill/>
                    <a:ln>
                      <a:noFill/>
                    </a:ln>
                  </pic:spPr>
                </pic:pic>
              </a:graphicData>
            </a:graphic>
          </wp:inline>
        </w:drawing>
      </w:r>
    </w:p>
    <w:p w14:paraId="533B2ED5" w14:textId="20807EBE" w:rsidR="003C0CB1" w:rsidRPr="007546E5" w:rsidRDefault="003C0CB1" w:rsidP="003C0CB1">
      <w:pPr>
        <w:jc w:val="both"/>
        <w:rPr>
          <w:rFonts w:ascii="Times New Roman" w:hAnsi="Times New Roman" w:cs="Times New Roman"/>
        </w:rPr>
      </w:pPr>
    </w:p>
    <w:p w14:paraId="4290A244" w14:textId="5297A399" w:rsidR="003C0CB1" w:rsidRPr="007546E5" w:rsidRDefault="003C0CB1" w:rsidP="003C0CB1">
      <w:pPr>
        <w:pStyle w:val="NormalWeb"/>
        <w:jc w:val="center"/>
        <w:rPr>
          <w:sz w:val="32"/>
          <w:szCs w:val="32"/>
          <w:lang w:val="sr-Latn-ME"/>
        </w:rPr>
      </w:pPr>
      <w:r w:rsidRPr="007546E5">
        <w:rPr>
          <w:rStyle w:val="Strong"/>
          <w:sz w:val="32"/>
          <w:szCs w:val="32"/>
          <w:lang w:val="sr-Latn-ME"/>
        </w:rPr>
        <w:t>Ugovorno tijelo:</w:t>
      </w:r>
      <w:r w:rsidRPr="007546E5">
        <w:rPr>
          <w:sz w:val="32"/>
          <w:szCs w:val="32"/>
          <w:lang w:val="sr-Latn-ME"/>
        </w:rPr>
        <w:t xml:space="preserve"> </w:t>
      </w:r>
      <w:r w:rsidR="002B7416">
        <w:rPr>
          <w:sz w:val="32"/>
          <w:szCs w:val="32"/>
          <w:lang w:val="sr-Latn-ME"/>
        </w:rPr>
        <w:t>E</w:t>
      </w:r>
      <w:r w:rsidRPr="007546E5">
        <w:rPr>
          <w:sz w:val="32"/>
          <w:szCs w:val="32"/>
          <w:lang w:val="sr-Latn-ME"/>
        </w:rPr>
        <w:t>vropska komisija</w:t>
      </w:r>
    </w:p>
    <w:p w14:paraId="3013C8C8" w14:textId="77777777" w:rsidR="003C0CB1" w:rsidRPr="007546E5" w:rsidRDefault="003C0CB1" w:rsidP="003C0CB1">
      <w:pPr>
        <w:pStyle w:val="NormalWeb"/>
        <w:jc w:val="center"/>
        <w:rPr>
          <w:sz w:val="32"/>
          <w:szCs w:val="32"/>
          <w:lang w:val="sr-Latn-ME"/>
        </w:rPr>
      </w:pPr>
    </w:p>
    <w:p w14:paraId="41ADE49E" w14:textId="020A7FE5" w:rsidR="003C0CB1" w:rsidRPr="007546E5" w:rsidRDefault="003C0CB1" w:rsidP="003C0CB1">
      <w:pPr>
        <w:pStyle w:val="NormalWeb"/>
        <w:jc w:val="center"/>
        <w:rPr>
          <w:rStyle w:val="Strong"/>
          <w:b w:val="0"/>
          <w:sz w:val="32"/>
          <w:szCs w:val="32"/>
          <w:lang w:val="sr-Latn-ME"/>
        </w:rPr>
      </w:pPr>
      <w:r w:rsidRPr="007546E5">
        <w:rPr>
          <w:rStyle w:val="Strong"/>
          <w:b w:val="0"/>
          <w:sz w:val="32"/>
          <w:szCs w:val="32"/>
          <w:lang w:val="sr-Latn-ME"/>
        </w:rPr>
        <w:t>Tematski program za ljudska prava i demokratiju Crna Gora 2025</w:t>
      </w:r>
    </w:p>
    <w:p w14:paraId="67D9227F" w14:textId="77777777" w:rsidR="003C0CB1" w:rsidRPr="007546E5" w:rsidRDefault="003C0CB1" w:rsidP="003C0CB1">
      <w:pPr>
        <w:pStyle w:val="NormalWeb"/>
        <w:jc w:val="center"/>
        <w:rPr>
          <w:b/>
          <w:sz w:val="32"/>
          <w:szCs w:val="32"/>
          <w:lang w:val="sr-Latn-ME"/>
        </w:rPr>
      </w:pPr>
    </w:p>
    <w:p w14:paraId="47285A0A" w14:textId="77777777" w:rsidR="003C0CB1" w:rsidRPr="007546E5" w:rsidRDefault="003C0CB1" w:rsidP="003C0CB1">
      <w:pPr>
        <w:pStyle w:val="NormalWeb"/>
        <w:jc w:val="center"/>
        <w:rPr>
          <w:sz w:val="32"/>
          <w:szCs w:val="32"/>
          <w:lang w:val="sr-Latn-ME"/>
        </w:rPr>
      </w:pPr>
      <w:r w:rsidRPr="007546E5">
        <w:rPr>
          <w:rStyle w:val="Strong"/>
          <w:sz w:val="32"/>
          <w:szCs w:val="32"/>
          <w:lang w:val="sr-Latn-ME"/>
        </w:rPr>
        <w:t>Smjernice za podnosioce prijava za grant</w:t>
      </w:r>
    </w:p>
    <w:p w14:paraId="721306E6" w14:textId="77777777" w:rsidR="003C0CB1" w:rsidRPr="007546E5" w:rsidRDefault="003C0CB1" w:rsidP="003C0CB1">
      <w:pPr>
        <w:pStyle w:val="NormalWeb"/>
        <w:jc w:val="center"/>
        <w:rPr>
          <w:sz w:val="32"/>
          <w:szCs w:val="32"/>
          <w:lang w:val="sr-Latn-ME"/>
        </w:rPr>
      </w:pPr>
      <w:r w:rsidRPr="007546E5">
        <w:rPr>
          <w:rStyle w:val="Strong"/>
          <w:b w:val="0"/>
          <w:sz w:val="32"/>
          <w:szCs w:val="32"/>
          <w:lang w:val="sr-Latn-ME"/>
        </w:rPr>
        <w:t>Budžetska linija(e):</w:t>
      </w:r>
      <w:r w:rsidRPr="007546E5">
        <w:rPr>
          <w:b/>
          <w:sz w:val="32"/>
          <w:szCs w:val="32"/>
          <w:lang w:val="sr-Latn-ME"/>
        </w:rPr>
        <w:t xml:space="preserve"> </w:t>
      </w:r>
      <w:r w:rsidRPr="007546E5">
        <w:rPr>
          <w:sz w:val="32"/>
          <w:szCs w:val="32"/>
          <w:lang w:val="sr-Latn-ME"/>
        </w:rPr>
        <w:t>14.020211</w:t>
      </w:r>
    </w:p>
    <w:p w14:paraId="4CE02B8E" w14:textId="77777777" w:rsidR="003C0CB1" w:rsidRPr="007546E5" w:rsidRDefault="003C0CB1" w:rsidP="003C0CB1">
      <w:pPr>
        <w:pStyle w:val="NormalWeb"/>
        <w:jc w:val="center"/>
        <w:rPr>
          <w:rStyle w:val="Strong"/>
          <w:b w:val="0"/>
          <w:sz w:val="40"/>
          <w:szCs w:val="40"/>
          <w:lang w:val="sr-Latn-ME"/>
        </w:rPr>
      </w:pPr>
    </w:p>
    <w:p w14:paraId="5EFC9A84" w14:textId="62896B24" w:rsidR="003C0CB1" w:rsidRPr="007546E5" w:rsidRDefault="003C0CB1" w:rsidP="003C0CB1">
      <w:pPr>
        <w:pStyle w:val="NormalWeb"/>
        <w:jc w:val="center"/>
        <w:rPr>
          <w:sz w:val="40"/>
          <w:szCs w:val="40"/>
          <w:lang w:val="sr-Latn-ME"/>
        </w:rPr>
      </w:pPr>
      <w:r w:rsidRPr="007546E5">
        <w:rPr>
          <w:rStyle w:val="Strong"/>
          <w:b w:val="0"/>
          <w:sz w:val="40"/>
          <w:szCs w:val="40"/>
          <w:lang w:val="sr-Latn-ME"/>
        </w:rPr>
        <w:t>Referenca:</w:t>
      </w:r>
      <w:r w:rsidRPr="007546E5">
        <w:rPr>
          <w:sz w:val="40"/>
          <w:szCs w:val="40"/>
          <w:lang w:val="sr-Latn-ME"/>
        </w:rPr>
        <w:br/>
        <w:t>EuropeAid/185546/DD/ACT/ME</w:t>
      </w:r>
    </w:p>
    <w:p w14:paraId="1BC0A8A0" w14:textId="4E2131C6" w:rsidR="003C0CB1" w:rsidRPr="007546E5" w:rsidRDefault="003C0CB1" w:rsidP="003C0CB1">
      <w:pPr>
        <w:pStyle w:val="NormalWeb"/>
        <w:jc w:val="center"/>
        <w:rPr>
          <w:sz w:val="32"/>
          <w:szCs w:val="32"/>
          <w:lang w:val="sr-Latn-ME"/>
        </w:rPr>
      </w:pPr>
      <w:r w:rsidRPr="007546E5">
        <w:rPr>
          <w:rStyle w:val="Strong"/>
          <w:b w:val="0"/>
          <w:sz w:val="32"/>
          <w:szCs w:val="32"/>
          <w:lang w:val="sr-Latn-ME"/>
        </w:rPr>
        <w:t>Rok za podnošenje</w:t>
      </w:r>
      <w:r w:rsidRPr="007546E5">
        <w:rPr>
          <w:rStyle w:val="FootnoteReference"/>
          <w:bCs/>
          <w:sz w:val="32"/>
          <w:szCs w:val="32"/>
          <w:lang w:val="sr-Latn-ME"/>
        </w:rPr>
        <w:footnoteReference w:id="1"/>
      </w:r>
      <w:r w:rsidRPr="007546E5">
        <w:rPr>
          <w:rStyle w:val="Strong"/>
          <w:b w:val="0"/>
          <w:sz w:val="32"/>
          <w:szCs w:val="32"/>
          <w:lang w:val="sr-Latn-ME"/>
        </w:rPr>
        <w:t xml:space="preserve"> kompletne prijave:</w:t>
      </w:r>
      <w:r w:rsidRPr="007546E5">
        <w:rPr>
          <w:sz w:val="32"/>
          <w:szCs w:val="32"/>
          <w:lang w:val="sr-Latn-ME"/>
        </w:rPr>
        <w:br/>
      </w:r>
      <w:r w:rsidRPr="007546E5">
        <w:rPr>
          <w:b/>
          <w:sz w:val="32"/>
          <w:szCs w:val="32"/>
          <w:lang w:val="sr-Latn-ME"/>
        </w:rPr>
        <w:t>08/05/2026 u 16:00 (po briselskom vremenu)</w:t>
      </w:r>
    </w:p>
    <w:p w14:paraId="4911C077" w14:textId="364A0B47" w:rsidR="003C0CB1" w:rsidRPr="007546E5" w:rsidRDefault="003C0CB1" w:rsidP="003C0CB1">
      <w:pPr>
        <w:pStyle w:val="NormalWeb"/>
        <w:jc w:val="center"/>
        <w:rPr>
          <w:i/>
          <w:lang w:val="sr-Latn-ME"/>
        </w:rPr>
      </w:pPr>
      <w:r w:rsidRPr="007546E5">
        <w:rPr>
          <w:rStyle w:val="Emphasis"/>
          <w:i w:val="0"/>
          <w:lang w:val="sr-Latn-ME"/>
        </w:rPr>
        <w:t xml:space="preserve">(za konverziju u lokalno vrijeme kliknite </w:t>
      </w:r>
      <w:hyperlink r:id="rId8" w:history="1">
        <w:r w:rsidRPr="007546E5">
          <w:rPr>
            <w:rStyle w:val="Hyperlink"/>
            <w:lang w:val="sr-Latn-ME"/>
          </w:rPr>
          <w:t>ovdje</w:t>
        </w:r>
      </w:hyperlink>
      <w:r w:rsidRPr="007546E5">
        <w:rPr>
          <w:rStyle w:val="FootnoteReference"/>
          <w:iCs/>
          <w:lang w:val="sr-Latn-ME"/>
        </w:rPr>
        <w:footnoteReference w:id="2"/>
      </w:r>
      <w:r w:rsidRPr="007546E5">
        <w:rPr>
          <w:rStyle w:val="Emphasis"/>
          <w:i w:val="0"/>
          <w:lang w:val="sr-Latn-ME"/>
        </w:rPr>
        <w:t>)</w:t>
      </w:r>
    </w:p>
    <w:p w14:paraId="7C8AFEEF" w14:textId="2A8EBBEE" w:rsidR="003C0CB1" w:rsidRPr="007546E5" w:rsidRDefault="003C0CB1">
      <w:pPr>
        <w:rPr>
          <w:rFonts w:ascii="Times New Roman" w:hAnsi="Times New Roman" w:cs="Times New Roman"/>
        </w:rPr>
      </w:pPr>
      <w:r w:rsidRPr="007546E5">
        <w:rPr>
          <w:rFonts w:ascii="Times New Roman" w:hAnsi="Times New Roman" w:cs="Times New Roman"/>
        </w:rPr>
        <w:br w:type="page"/>
      </w:r>
    </w:p>
    <w:p w14:paraId="100786CE" w14:textId="77777777" w:rsidR="003C0CB1" w:rsidRPr="007546E5" w:rsidRDefault="003C0CB1" w:rsidP="003C0CB1">
      <w:pPr>
        <w:spacing w:before="100" w:beforeAutospacing="1" w:after="100" w:afterAutospacing="1" w:line="240" w:lineRule="auto"/>
        <w:jc w:val="center"/>
        <w:outlineLvl w:val="1"/>
        <w:rPr>
          <w:rFonts w:ascii="Times New Roman" w:eastAsia="Times New Roman" w:hAnsi="Times New Roman" w:cs="Times New Roman"/>
          <w:b/>
          <w:bCs/>
          <w:sz w:val="32"/>
          <w:szCs w:val="32"/>
          <w:lang w:eastAsia="en-GB"/>
        </w:rPr>
      </w:pPr>
      <w:r w:rsidRPr="007546E5">
        <w:rPr>
          <w:rFonts w:ascii="Times New Roman" w:eastAsia="Times New Roman" w:hAnsi="Times New Roman" w:cs="Times New Roman"/>
          <w:b/>
          <w:bCs/>
          <w:sz w:val="32"/>
          <w:szCs w:val="32"/>
          <w:lang w:eastAsia="en-GB"/>
        </w:rPr>
        <w:lastRenderedPageBreak/>
        <w:t>NAPOMENA</w:t>
      </w:r>
    </w:p>
    <w:p w14:paraId="419B6F65" w14:textId="7DD8EA78" w:rsidR="003C0CB1" w:rsidRPr="007546E5" w:rsidRDefault="003C0CB1" w:rsidP="003C0CB1">
      <w:p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 xml:space="preserve">Ovo je otvoreni poziv za dostavljanje </w:t>
      </w:r>
      <w:r w:rsidR="002832D2" w:rsidRPr="007546E5">
        <w:rPr>
          <w:rFonts w:ascii="Times New Roman" w:eastAsia="Times New Roman" w:hAnsi="Times New Roman" w:cs="Times New Roman"/>
          <w:lang w:eastAsia="en-GB"/>
        </w:rPr>
        <w:t>prijedlog</w:t>
      </w:r>
      <w:r w:rsidRPr="007546E5">
        <w:rPr>
          <w:rFonts w:ascii="Times New Roman" w:eastAsia="Times New Roman" w:hAnsi="Times New Roman" w:cs="Times New Roman"/>
          <w:lang w:eastAsia="en-GB"/>
        </w:rPr>
        <w:t xml:space="preserve">a projekata, u okviru kojeg se svi dokumenti podnose zajedno: sažeti opis projekta (Aneks A.1 – Obrazac prijave za grant – sažeti opis projekta) i kompletna prijava (Aneks A.2 – Obrazac prijave za grant – kompletna prijava). U prvoj fazi </w:t>
      </w:r>
      <w:r w:rsidR="002832D2" w:rsidRPr="007546E5">
        <w:rPr>
          <w:rFonts w:ascii="Times New Roman" w:eastAsia="Times New Roman" w:hAnsi="Times New Roman" w:cs="Times New Roman"/>
          <w:lang w:eastAsia="en-GB"/>
        </w:rPr>
        <w:t>će se</w:t>
      </w:r>
      <w:r w:rsidRPr="007546E5">
        <w:rPr>
          <w:rFonts w:ascii="Times New Roman" w:eastAsia="Times New Roman" w:hAnsi="Times New Roman" w:cs="Times New Roman"/>
          <w:lang w:eastAsia="en-GB"/>
        </w:rPr>
        <w:t xml:space="preserve"> ocjenjiva</w:t>
      </w:r>
      <w:r w:rsidR="002832D2" w:rsidRPr="007546E5">
        <w:rPr>
          <w:rFonts w:ascii="Times New Roman" w:eastAsia="Times New Roman" w:hAnsi="Times New Roman" w:cs="Times New Roman"/>
          <w:lang w:eastAsia="en-GB"/>
        </w:rPr>
        <w:t>ti</w:t>
      </w:r>
      <w:r w:rsidRPr="007546E5">
        <w:rPr>
          <w:rFonts w:ascii="Times New Roman" w:eastAsia="Times New Roman" w:hAnsi="Times New Roman" w:cs="Times New Roman"/>
          <w:lang w:eastAsia="en-GB"/>
        </w:rPr>
        <w:t xml:space="preserve"> samo sažeti opisi projekata. Nakon toga, za vodeće podnosioce prijava koji budu prethodno odabrani, ocjenjivaće se kompletne prijave. Nakon evaluacije kompletnih prijava, izvršiće se provjera prihvatljivosti za one prijave koje budu privremeno odabrane (uključujući one koje se nalaze na rezervnoj listi). Prihvatljivost će se provjeravati na osnovu prateće dokumentacije koju zahtijeva ugovorno tijelo, kao i potpisane „izjave vodećeg podnosioca prijave“, dostavljene zajedno sa kompletnom prijavom.</w:t>
      </w:r>
    </w:p>
    <w:tbl>
      <w:tblPr>
        <w:tblStyle w:val="TableGrid"/>
        <w:tblW w:w="0" w:type="auto"/>
        <w:tblLook w:val="04A0" w:firstRow="1" w:lastRow="0" w:firstColumn="1" w:lastColumn="0" w:noHBand="0" w:noVBand="1"/>
      </w:tblPr>
      <w:tblGrid>
        <w:gridCol w:w="9016"/>
      </w:tblGrid>
      <w:tr w:rsidR="003C0CB1" w:rsidRPr="007546E5" w14:paraId="764F93BD" w14:textId="77777777" w:rsidTr="003C0CB1">
        <w:tc>
          <w:tcPr>
            <w:tcW w:w="9016" w:type="dxa"/>
          </w:tcPr>
          <w:p w14:paraId="25243D55" w14:textId="77777777" w:rsidR="003C0CB1" w:rsidRPr="007546E5" w:rsidRDefault="003C0CB1" w:rsidP="003C0CB1">
            <w:pPr>
              <w:pStyle w:val="Heading2"/>
              <w:jc w:val="center"/>
              <w:rPr>
                <w:sz w:val="22"/>
                <w:szCs w:val="22"/>
                <w:lang w:val="sr-Latn-ME"/>
              </w:rPr>
            </w:pPr>
            <w:r w:rsidRPr="007546E5">
              <w:rPr>
                <w:rStyle w:val="Strong"/>
                <w:b/>
                <w:bCs/>
                <w:sz w:val="22"/>
                <w:szCs w:val="22"/>
                <w:lang w:val="sr-Latn-ME"/>
              </w:rPr>
              <w:t>Online podnošenje putem PROSPECT-a</w:t>
            </w:r>
          </w:p>
          <w:p w14:paraId="2A9145E9" w14:textId="2C538C4E" w:rsidR="003C0CB1" w:rsidRPr="007546E5" w:rsidRDefault="003C0CB1" w:rsidP="003C0CB1">
            <w:pPr>
              <w:pStyle w:val="NormalWeb"/>
              <w:jc w:val="both"/>
              <w:rPr>
                <w:sz w:val="22"/>
                <w:szCs w:val="22"/>
                <w:lang w:val="sr-Latn-ME"/>
              </w:rPr>
            </w:pPr>
            <w:r w:rsidRPr="007546E5">
              <w:rPr>
                <w:b/>
                <w:sz w:val="22"/>
                <w:szCs w:val="22"/>
                <w:lang w:val="sr-Latn-ME"/>
              </w:rPr>
              <w:t xml:space="preserve">Za prijavu na ovaj poziv za dostavljanje </w:t>
            </w:r>
            <w:r w:rsidR="002832D2" w:rsidRPr="007546E5">
              <w:rPr>
                <w:b/>
                <w:sz w:val="22"/>
                <w:szCs w:val="22"/>
                <w:lang w:val="sr-Latn-ME"/>
              </w:rPr>
              <w:t>prijedlog</w:t>
            </w:r>
            <w:r w:rsidRPr="007546E5">
              <w:rPr>
                <w:b/>
                <w:sz w:val="22"/>
                <w:szCs w:val="22"/>
                <w:lang w:val="sr-Latn-ME"/>
              </w:rPr>
              <w:t xml:space="preserve">a projekata, organizacije moraju biti registrovane u PADOR-u i podnijeti svoju prijavu putem sistema PROSPECT (vidjeti odjeljak 2.2.2 </w:t>
            </w:r>
            <w:r w:rsidR="002832D2" w:rsidRPr="007546E5">
              <w:rPr>
                <w:b/>
                <w:sz w:val="22"/>
                <w:szCs w:val="22"/>
                <w:lang w:val="sr-Latn-ME"/>
              </w:rPr>
              <w:t>o s</w:t>
            </w:r>
            <w:r w:rsidRPr="007546E5">
              <w:rPr>
                <w:b/>
                <w:sz w:val="22"/>
                <w:szCs w:val="22"/>
                <w:lang w:val="sr-Latn-ME"/>
              </w:rPr>
              <w:t>mjernica</w:t>
            </w:r>
            <w:r w:rsidR="002832D2" w:rsidRPr="007546E5">
              <w:rPr>
                <w:b/>
                <w:sz w:val="22"/>
                <w:szCs w:val="22"/>
                <w:lang w:val="sr-Latn-ME"/>
              </w:rPr>
              <w:t>ma</w:t>
            </w:r>
            <w:r w:rsidRPr="007546E5">
              <w:rPr>
                <w:b/>
                <w:sz w:val="22"/>
                <w:szCs w:val="22"/>
                <w:lang w:val="sr-Latn-ME"/>
              </w:rPr>
              <w:t>)</w:t>
            </w:r>
            <w:r w:rsidRPr="007546E5">
              <w:rPr>
                <w:sz w:val="22"/>
                <w:szCs w:val="22"/>
                <w:lang w:val="sr-Latn-ME"/>
              </w:rPr>
              <w:t>.</w:t>
            </w:r>
            <w:r w:rsidR="008F7952" w:rsidRPr="007546E5">
              <w:rPr>
                <w:sz w:val="22"/>
                <w:szCs w:val="22"/>
                <w:lang w:val="sr-Latn-ME"/>
              </w:rPr>
              <w:t xml:space="preserve"> </w:t>
            </w:r>
            <w:r w:rsidRPr="007546E5">
              <w:rPr>
                <w:sz w:val="22"/>
                <w:szCs w:val="22"/>
                <w:lang w:val="sr-Latn-ME"/>
              </w:rPr>
              <w:t xml:space="preserve">Cilj sistema PROSPECT je da poveća efikasnost upravljanja pozivima za dostavljanje </w:t>
            </w:r>
            <w:r w:rsidR="002832D2" w:rsidRPr="007546E5">
              <w:rPr>
                <w:sz w:val="22"/>
                <w:szCs w:val="22"/>
                <w:lang w:val="sr-Latn-ME"/>
              </w:rPr>
              <w:t>prijedlog</w:t>
            </w:r>
            <w:r w:rsidRPr="007546E5">
              <w:rPr>
                <w:sz w:val="22"/>
                <w:szCs w:val="22"/>
                <w:lang w:val="sr-Latn-ME"/>
              </w:rPr>
              <w:t>a projekata i da pruži bolju uslugu organizacijama civilnog društva kroz novi skup funkcionalnosti, kao što su online podnošenje prijava i mogućnost praćenja statusa prijave putem interneta.</w:t>
            </w:r>
          </w:p>
          <w:p w14:paraId="2233B81D" w14:textId="77777777" w:rsidR="003C0CB1" w:rsidRPr="007546E5" w:rsidRDefault="003C0CB1" w:rsidP="003C0CB1">
            <w:pPr>
              <w:pStyle w:val="NormalWeb"/>
              <w:jc w:val="both"/>
              <w:rPr>
                <w:b/>
                <w:sz w:val="22"/>
                <w:szCs w:val="22"/>
                <w:lang w:val="sr-Latn-ME"/>
              </w:rPr>
            </w:pPr>
            <w:r w:rsidRPr="007546E5">
              <w:rPr>
                <w:rStyle w:val="Strong"/>
                <w:sz w:val="22"/>
                <w:szCs w:val="22"/>
                <w:lang w:val="sr-Latn-ME"/>
              </w:rPr>
              <w:t xml:space="preserve">Priprema: </w:t>
            </w:r>
            <w:r w:rsidRPr="007546E5">
              <w:rPr>
                <w:rStyle w:val="Strong"/>
                <w:b w:val="0"/>
                <w:sz w:val="22"/>
                <w:szCs w:val="22"/>
                <w:lang w:val="sr-Latn-ME"/>
              </w:rPr>
              <w:t>informativna sesija</w:t>
            </w:r>
            <w:r w:rsidRPr="007546E5">
              <w:rPr>
                <w:rStyle w:val="Strong"/>
                <w:sz w:val="22"/>
                <w:szCs w:val="22"/>
                <w:lang w:val="sr-Latn-ME"/>
              </w:rPr>
              <w:t xml:space="preserve"> 26. februara 2026. godine u 14:30 časova, </w:t>
            </w:r>
            <w:r w:rsidRPr="007546E5">
              <w:rPr>
                <w:rStyle w:val="Strong"/>
                <w:b w:val="0"/>
                <w:sz w:val="22"/>
                <w:szCs w:val="22"/>
                <w:lang w:val="sr-Latn-ME"/>
              </w:rPr>
              <w:t>Europe House, trg Argentina 4, Podgorica, kao i korisnički priručnici.</w:t>
            </w:r>
          </w:p>
          <w:p w14:paraId="352AFA6A" w14:textId="6276314D" w:rsidR="003C0CB1" w:rsidRPr="007546E5" w:rsidRDefault="003C0CB1" w:rsidP="003C0CB1">
            <w:pPr>
              <w:pStyle w:val="NormalWeb"/>
              <w:jc w:val="both"/>
              <w:rPr>
                <w:sz w:val="22"/>
                <w:szCs w:val="22"/>
                <w:lang w:val="sr-Latn-ME"/>
              </w:rPr>
            </w:pPr>
            <w:r w:rsidRPr="007546E5">
              <w:rPr>
                <w:sz w:val="22"/>
                <w:szCs w:val="22"/>
                <w:lang w:val="sr-Latn-ME"/>
              </w:rPr>
              <w:t xml:space="preserve">Kako bi se podnosioci prijava upoznali sa sistemom prije online podnošenja, biće organizovana informativna sesija </w:t>
            </w:r>
            <w:r w:rsidRPr="007546E5">
              <w:rPr>
                <w:b/>
                <w:sz w:val="22"/>
                <w:szCs w:val="22"/>
                <w:lang w:val="sr-Latn-ME"/>
              </w:rPr>
              <w:t>26. februara 2026. godine u 14:30 časova</w:t>
            </w:r>
            <w:r w:rsidRPr="007546E5">
              <w:rPr>
                <w:sz w:val="22"/>
                <w:szCs w:val="22"/>
                <w:lang w:val="sr-Latn-ME"/>
              </w:rPr>
              <w:t xml:space="preserve">, u </w:t>
            </w:r>
            <w:r w:rsidR="00C63CDD" w:rsidRPr="007546E5">
              <w:rPr>
                <w:sz w:val="22"/>
                <w:szCs w:val="22"/>
                <w:lang w:val="sr-Latn-ME"/>
              </w:rPr>
              <w:t xml:space="preserve">Evropskoj kući </w:t>
            </w:r>
            <w:r w:rsidR="00C63CDD" w:rsidRPr="00F632AA">
              <w:rPr>
                <w:sz w:val="22"/>
                <w:szCs w:val="22"/>
                <w:lang w:val="sr-Latn-ME"/>
              </w:rPr>
              <w:t>(</w:t>
            </w:r>
            <w:r w:rsidRPr="007546E5">
              <w:rPr>
                <w:sz w:val="22"/>
                <w:szCs w:val="22"/>
                <w:lang w:val="sr-Latn-ME"/>
              </w:rPr>
              <w:t>Europe House</w:t>
            </w:r>
            <w:r w:rsidR="00C63CDD" w:rsidRPr="007546E5">
              <w:rPr>
                <w:sz w:val="22"/>
                <w:szCs w:val="22"/>
                <w:lang w:val="sr-Latn-ME"/>
              </w:rPr>
              <w:t>)</w:t>
            </w:r>
            <w:r w:rsidRPr="007546E5">
              <w:rPr>
                <w:sz w:val="22"/>
                <w:szCs w:val="22"/>
                <w:lang w:val="sr-Latn-ME"/>
              </w:rPr>
              <w:t xml:space="preserve">, </w:t>
            </w:r>
            <w:r w:rsidR="00C63CDD" w:rsidRPr="007546E5">
              <w:rPr>
                <w:sz w:val="22"/>
                <w:szCs w:val="22"/>
                <w:lang w:val="sr-Latn-ME"/>
              </w:rPr>
              <w:t>T</w:t>
            </w:r>
            <w:r w:rsidRPr="007546E5">
              <w:rPr>
                <w:sz w:val="22"/>
                <w:szCs w:val="22"/>
                <w:lang w:val="sr-Latn-ME"/>
              </w:rPr>
              <w:t>rg Argentina 4, Podgorica.</w:t>
            </w:r>
          </w:p>
          <w:p w14:paraId="4CD59218" w14:textId="11D1585D" w:rsidR="003C0CB1" w:rsidRPr="007546E5" w:rsidRDefault="003C0CB1" w:rsidP="003C0CB1">
            <w:pPr>
              <w:pStyle w:val="NormalWeb"/>
              <w:jc w:val="both"/>
              <w:rPr>
                <w:sz w:val="22"/>
                <w:szCs w:val="22"/>
                <w:lang w:val="sr-Latn-ME"/>
              </w:rPr>
            </w:pPr>
            <w:r w:rsidRPr="007546E5">
              <w:rPr>
                <w:sz w:val="22"/>
                <w:szCs w:val="22"/>
                <w:lang w:val="sr-Latn-ME"/>
              </w:rPr>
              <w:t xml:space="preserve">Ukoliko ste zainteresovani za učešće na ovoj sesiji, molimo vas da najkasnije do 25. februara 2026. godine pošaljete e-mail na adresu </w:t>
            </w:r>
            <w:hyperlink r:id="rId9" w:history="1">
              <w:r w:rsidR="008F7952" w:rsidRPr="007546E5">
                <w:rPr>
                  <w:rStyle w:val="Hyperlink"/>
                  <w:sz w:val="22"/>
                  <w:szCs w:val="22"/>
                  <w:lang w:val="sr-Latn-ME"/>
                </w:rPr>
                <w:t>delegation-montenegro-fcs@eeas.europa.eu</w:t>
              </w:r>
            </w:hyperlink>
            <w:r w:rsidRPr="007546E5">
              <w:rPr>
                <w:sz w:val="22"/>
                <w:szCs w:val="22"/>
                <w:lang w:val="sr-Latn-ME"/>
              </w:rPr>
              <w:t>, uz navođenje: imena, prezimena, državljanstva i e-mail adrese osoba koje će učestvovati, kao i naziva njihove organizacije (maksimalno dva učesnika po organizaciji). Troškovi koje podnosioci prijava imaju u vezi sa učešćem na ovoj informativnoj sesiji nijesu prihvatljivi za refundaciju.</w:t>
            </w:r>
          </w:p>
          <w:p w14:paraId="719B8523" w14:textId="6592777D" w:rsidR="003C0CB1" w:rsidRPr="007546E5" w:rsidRDefault="003C0CB1" w:rsidP="008F7952">
            <w:pPr>
              <w:pStyle w:val="NormalWeb"/>
              <w:jc w:val="both"/>
              <w:rPr>
                <w:sz w:val="22"/>
                <w:szCs w:val="22"/>
                <w:lang w:val="sr-Latn-ME"/>
              </w:rPr>
            </w:pPr>
            <w:r w:rsidRPr="007546E5">
              <w:rPr>
                <w:sz w:val="22"/>
                <w:szCs w:val="22"/>
                <w:lang w:val="sr-Latn-ME"/>
              </w:rPr>
              <w:t xml:space="preserve">Sve organizacije mogu pronaći više informacija o PROSPECT-u u </w:t>
            </w:r>
            <w:hyperlink r:id="rId10" w:history="1">
              <w:r w:rsidRPr="007546E5">
                <w:rPr>
                  <w:rStyle w:val="Hyperlink"/>
                  <w:sz w:val="22"/>
                  <w:szCs w:val="22"/>
                  <w:lang w:val="sr-Latn-ME"/>
                </w:rPr>
                <w:t>korisničkom priručniku</w:t>
              </w:r>
            </w:hyperlink>
            <w:r w:rsidRPr="007546E5">
              <w:rPr>
                <w:sz w:val="22"/>
                <w:szCs w:val="22"/>
                <w:lang w:val="sr-Latn-ME"/>
              </w:rPr>
              <w:t xml:space="preserve"> i putem </w:t>
            </w:r>
            <w:hyperlink r:id="rId11" w:history="1">
              <w:r w:rsidRPr="007546E5">
                <w:rPr>
                  <w:rStyle w:val="Hyperlink"/>
                  <w:sz w:val="22"/>
                  <w:szCs w:val="22"/>
                  <w:lang w:val="sr-Latn-ME"/>
                </w:rPr>
                <w:t>e-learning video materijala</w:t>
              </w:r>
            </w:hyperlink>
            <w:r w:rsidRPr="007546E5">
              <w:rPr>
                <w:sz w:val="22"/>
                <w:szCs w:val="22"/>
                <w:lang w:val="sr-Latn-ME"/>
              </w:rPr>
              <w:t>. Takođe, možete kontaktirati naš tim za tehničku podršku putem online formulara za podršku u okviru sistema PROSPECT</w:t>
            </w:r>
            <w:r w:rsidR="008F7952" w:rsidRPr="007546E5">
              <w:rPr>
                <w:rStyle w:val="FootnoteReference"/>
                <w:sz w:val="22"/>
                <w:szCs w:val="22"/>
                <w:lang w:val="sr-Latn-ME"/>
              </w:rPr>
              <w:footnoteReference w:id="3"/>
            </w:r>
            <w:r w:rsidRPr="007546E5">
              <w:rPr>
                <w:sz w:val="22"/>
                <w:szCs w:val="22"/>
                <w:lang w:val="sr-Latn-ME"/>
              </w:rPr>
              <w:t>.</w:t>
            </w:r>
          </w:p>
        </w:tc>
      </w:tr>
    </w:tbl>
    <w:p w14:paraId="40CC6164" w14:textId="11763753" w:rsidR="008F7952" w:rsidRPr="007546E5" w:rsidRDefault="008F7952" w:rsidP="003C0CB1">
      <w:pPr>
        <w:jc w:val="both"/>
        <w:rPr>
          <w:rFonts w:ascii="Times New Roman" w:hAnsi="Times New Roman" w:cs="Times New Roman"/>
        </w:rPr>
      </w:pPr>
    </w:p>
    <w:p w14:paraId="7F3531CE" w14:textId="77777777" w:rsidR="008F7952" w:rsidRPr="007546E5" w:rsidRDefault="008F7952">
      <w:pPr>
        <w:rPr>
          <w:rFonts w:ascii="Times New Roman" w:hAnsi="Times New Roman" w:cs="Times New Roman"/>
        </w:rPr>
      </w:pPr>
      <w:r w:rsidRPr="007546E5">
        <w:rPr>
          <w:rFonts w:ascii="Times New Roman" w:hAnsi="Times New Roman" w:cs="Times New Roman"/>
        </w:rPr>
        <w:br w:type="page"/>
      </w:r>
    </w:p>
    <w:p w14:paraId="284FE3B8" w14:textId="16DB0612" w:rsidR="008F7952" w:rsidRPr="007546E5" w:rsidRDefault="008F7952" w:rsidP="008F7952">
      <w:pPr>
        <w:pageBreakBefore/>
        <w:spacing w:after="600"/>
        <w:jc w:val="center"/>
        <w:rPr>
          <w:rFonts w:ascii="Times New Roman" w:hAnsi="Times New Roman" w:cs="Times New Roman"/>
          <w:sz w:val="32"/>
        </w:rPr>
      </w:pPr>
      <w:r w:rsidRPr="007546E5">
        <w:rPr>
          <w:rFonts w:ascii="Times New Roman" w:hAnsi="Times New Roman" w:cs="Times New Roman"/>
          <w:sz w:val="32"/>
        </w:rPr>
        <w:lastRenderedPageBreak/>
        <w:t>Sadržaj</w:t>
      </w:r>
    </w:p>
    <w:p w14:paraId="04FBEC03" w14:textId="77CAD177" w:rsidR="008F7952" w:rsidRPr="007546E5" w:rsidRDefault="008F7952" w:rsidP="008F7952">
      <w:pPr>
        <w:pStyle w:val="TOC1"/>
        <w:rPr>
          <w:rFonts w:ascii="Times New Roman" w:eastAsiaTheme="minorEastAsia" w:hAnsi="Times New Roman"/>
          <w:b w:val="0"/>
          <w:caps w:val="0"/>
          <w:noProof/>
          <w:kern w:val="2"/>
          <w:szCs w:val="22"/>
          <w:lang w:val="sr-Latn-ME" w:eastAsia="en-GB"/>
        </w:rPr>
      </w:pPr>
      <w:r w:rsidRPr="007546E5">
        <w:rPr>
          <w:rFonts w:ascii="Times New Roman" w:hAnsi="Times New Roman"/>
          <w:b w:val="0"/>
          <w:caps w:val="0"/>
          <w:sz w:val="28"/>
          <w:szCs w:val="28"/>
          <w:lang w:val="sr-Latn-ME"/>
        </w:rPr>
        <w:fldChar w:fldCharType="begin"/>
      </w:r>
      <w:r w:rsidRPr="007546E5">
        <w:rPr>
          <w:rFonts w:ascii="Times New Roman" w:hAnsi="Times New Roman"/>
          <w:b w:val="0"/>
          <w:caps w:val="0"/>
          <w:sz w:val="28"/>
          <w:szCs w:val="28"/>
          <w:lang w:val="sr-Latn-ME"/>
        </w:rPr>
        <w:instrText xml:space="preserve"> TOC \h \z \t "Guidelines 1;1;Guidelines 2;2;Guidelines 3;3" </w:instrText>
      </w:r>
      <w:r w:rsidRPr="007546E5">
        <w:rPr>
          <w:rFonts w:ascii="Times New Roman" w:hAnsi="Times New Roman"/>
          <w:b w:val="0"/>
          <w:caps w:val="0"/>
          <w:sz w:val="28"/>
          <w:szCs w:val="28"/>
          <w:lang w:val="sr-Latn-ME"/>
        </w:rPr>
        <w:fldChar w:fldCharType="separate"/>
      </w:r>
      <w:r w:rsidRPr="007546E5">
        <w:rPr>
          <w:rFonts w:ascii="Times New Roman" w:hAnsi="Times New Roman"/>
          <w:lang w:val="sr-Latn-ME"/>
        </w:rPr>
        <w:t xml:space="preserve"> </w:t>
      </w:r>
      <w:hyperlink r:id="rId12" w:anchor="_Toc185257567" w:history="1">
        <w:r w:rsidRPr="007546E5">
          <w:rPr>
            <w:rStyle w:val="Hyperlink"/>
            <w:rFonts w:ascii="Times New Roman" w:hAnsi="Times New Roman"/>
            <w:noProof/>
            <w:lang w:val="sr-Latn-ME"/>
          </w:rPr>
          <w:t>1.</w:t>
        </w:r>
        <w:r w:rsidRPr="007546E5">
          <w:rPr>
            <w:rStyle w:val="Hyperlink"/>
            <w:rFonts w:ascii="Times New Roman" w:eastAsiaTheme="minorEastAsia" w:hAnsi="Times New Roman"/>
            <w:b w:val="0"/>
            <w:caps w:val="0"/>
            <w:noProof/>
            <w:kern w:val="2"/>
            <w:szCs w:val="22"/>
            <w:lang w:val="sr-Latn-ME" w:eastAsia="en-GB"/>
          </w:rPr>
          <w:tab/>
        </w:r>
        <w:r w:rsidR="000C4D66" w:rsidRPr="007546E5">
          <w:rPr>
            <w:rFonts w:ascii="Times New Roman" w:hAnsi="Times New Roman"/>
            <w:lang w:val="sr-Latn-ME"/>
          </w:rPr>
          <w:t>TEMATSKI PROGRAM ZA LJUDSKA PRAVA I DEMOKRATIJU CRNA GORA 2025</w:t>
        </w:r>
        <w:r w:rsidRPr="007546E5">
          <w:rPr>
            <w:rStyle w:val="Hyperlink"/>
            <w:rFonts w:ascii="Times New Roman" w:hAnsi="Times New Roman"/>
            <w:noProof/>
            <w:webHidden/>
            <w:lang w:val="sr-Latn-ME"/>
          </w:rPr>
          <w:tab/>
        </w:r>
        <w:r w:rsidRPr="007546E5">
          <w:rPr>
            <w:rStyle w:val="Hyperlink"/>
            <w:rFonts w:ascii="Times New Roman" w:hAnsi="Times New Roman"/>
            <w:noProof/>
            <w:webHidden/>
            <w:lang w:val="sr-Latn-ME"/>
          </w:rPr>
          <w:fldChar w:fldCharType="begin"/>
        </w:r>
        <w:r w:rsidRPr="007546E5">
          <w:rPr>
            <w:rStyle w:val="Hyperlink"/>
            <w:rFonts w:ascii="Times New Roman" w:hAnsi="Times New Roman"/>
            <w:noProof/>
            <w:webHidden/>
            <w:lang w:val="sr-Latn-ME"/>
          </w:rPr>
          <w:instrText xml:space="preserve"> PAGEREF _Toc185257567 \h </w:instrText>
        </w:r>
        <w:r w:rsidRPr="007546E5">
          <w:rPr>
            <w:rStyle w:val="Hyperlink"/>
            <w:rFonts w:ascii="Times New Roman" w:hAnsi="Times New Roman"/>
            <w:noProof/>
            <w:webHidden/>
            <w:lang w:val="sr-Latn-ME"/>
          </w:rPr>
        </w:r>
        <w:r w:rsidRPr="007546E5">
          <w:rPr>
            <w:rStyle w:val="Hyperlink"/>
            <w:rFonts w:ascii="Times New Roman" w:hAnsi="Times New Roman"/>
            <w:noProof/>
            <w:webHidden/>
            <w:lang w:val="sr-Latn-ME"/>
          </w:rPr>
          <w:fldChar w:fldCharType="separate"/>
        </w:r>
        <w:r w:rsidRPr="007546E5">
          <w:rPr>
            <w:rStyle w:val="Hyperlink"/>
            <w:rFonts w:ascii="Times New Roman" w:hAnsi="Times New Roman"/>
            <w:noProof/>
            <w:webHidden/>
            <w:lang w:val="sr-Latn-ME"/>
          </w:rPr>
          <w:t>4</w:t>
        </w:r>
        <w:r w:rsidRPr="007546E5">
          <w:rPr>
            <w:rStyle w:val="Hyperlink"/>
            <w:rFonts w:ascii="Times New Roman" w:hAnsi="Times New Roman"/>
            <w:noProof/>
            <w:webHidden/>
            <w:lang w:val="sr-Latn-ME"/>
          </w:rPr>
          <w:fldChar w:fldCharType="end"/>
        </w:r>
      </w:hyperlink>
    </w:p>
    <w:p w14:paraId="4F99D946" w14:textId="77777777" w:rsidR="008F7952" w:rsidRPr="007546E5" w:rsidRDefault="008F7952" w:rsidP="008F7952">
      <w:pPr>
        <w:pStyle w:val="TOC2"/>
        <w:rPr>
          <w:rFonts w:eastAsiaTheme="minorEastAsia"/>
          <w:noProof/>
          <w:kern w:val="2"/>
          <w:szCs w:val="22"/>
          <w:lang w:val="sr-Latn-ME" w:eastAsia="en-GB"/>
        </w:rPr>
      </w:pPr>
      <w:hyperlink r:id="rId13" w:anchor="_Toc185257568" w:history="1">
        <w:r w:rsidRPr="007546E5">
          <w:rPr>
            <w:rStyle w:val="Hyperlink"/>
            <w:noProof/>
            <w:lang w:val="sr-Latn-ME"/>
          </w:rPr>
          <w:t>1.1.</w:t>
        </w:r>
        <w:r w:rsidRPr="007546E5">
          <w:rPr>
            <w:rStyle w:val="Hyperlink"/>
            <w:rFonts w:eastAsiaTheme="minorEastAsia"/>
            <w:noProof/>
            <w:kern w:val="2"/>
            <w:szCs w:val="22"/>
            <w:lang w:val="sr-Latn-ME" w:eastAsia="en-GB"/>
          </w:rPr>
          <w:tab/>
        </w:r>
        <w:r w:rsidRPr="007546E5">
          <w:rPr>
            <w:rStyle w:val="Hyperlink"/>
            <w:noProof/>
            <w:lang w:val="sr-Latn-ME"/>
          </w:rPr>
          <w:t>Kontekst</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_Toc185257568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4</w:t>
        </w:r>
        <w:r w:rsidRPr="007546E5">
          <w:rPr>
            <w:rStyle w:val="Hyperlink"/>
            <w:noProof/>
            <w:webHidden/>
            <w:lang w:val="sr-Latn-ME"/>
          </w:rPr>
          <w:fldChar w:fldCharType="end"/>
        </w:r>
      </w:hyperlink>
    </w:p>
    <w:p w14:paraId="5C313662" w14:textId="77777777" w:rsidR="008F7952" w:rsidRPr="007546E5" w:rsidRDefault="008F7952" w:rsidP="008F7952">
      <w:pPr>
        <w:pStyle w:val="TOC2"/>
        <w:rPr>
          <w:rFonts w:eastAsiaTheme="minorEastAsia"/>
          <w:noProof/>
          <w:kern w:val="2"/>
          <w:szCs w:val="22"/>
          <w:lang w:val="sr-Latn-ME" w:eastAsia="en-GB"/>
        </w:rPr>
      </w:pPr>
      <w:hyperlink r:id="rId14" w:anchor="_Toc185257569" w:history="1">
        <w:r w:rsidRPr="007546E5">
          <w:rPr>
            <w:rStyle w:val="Hyperlink"/>
            <w:noProof/>
            <w:lang w:val="sr-Latn-ME"/>
          </w:rPr>
          <w:t>1.2.</w:t>
        </w:r>
        <w:r w:rsidRPr="007546E5">
          <w:rPr>
            <w:rStyle w:val="Hyperlink"/>
            <w:rFonts w:eastAsiaTheme="minorEastAsia"/>
            <w:noProof/>
            <w:kern w:val="2"/>
            <w:szCs w:val="22"/>
            <w:lang w:val="sr-Latn-ME" w:eastAsia="en-GB"/>
          </w:rPr>
          <w:tab/>
        </w:r>
        <w:r w:rsidRPr="007546E5">
          <w:rPr>
            <w:rStyle w:val="Hyperlink"/>
            <w:lang w:val="sr-Latn-ME"/>
          </w:rPr>
          <w:t>Ciljevi programa i prioritetna pitanja</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_Toc185257569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4</w:t>
        </w:r>
        <w:r w:rsidRPr="007546E5">
          <w:rPr>
            <w:rStyle w:val="Hyperlink"/>
            <w:noProof/>
            <w:webHidden/>
            <w:lang w:val="sr-Latn-ME"/>
          </w:rPr>
          <w:fldChar w:fldCharType="end"/>
        </w:r>
      </w:hyperlink>
    </w:p>
    <w:p w14:paraId="67003347" w14:textId="77777777" w:rsidR="008F7952" w:rsidRPr="007546E5" w:rsidRDefault="008F7952" w:rsidP="008F7952">
      <w:pPr>
        <w:pStyle w:val="TOC2"/>
        <w:rPr>
          <w:rFonts w:eastAsiaTheme="minorEastAsia"/>
          <w:noProof/>
          <w:kern w:val="2"/>
          <w:szCs w:val="22"/>
          <w:lang w:val="sr-Latn-ME" w:eastAsia="en-GB"/>
        </w:rPr>
      </w:pPr>
      <w:hyperlink r:id="rId15" w:anchor="_Toc185257570" w:history="1">
        <w:r w:rsidRPr="007546E5">
          <w:rPr>
            <w:rStyle w:val="Hyperlink"/>
            <w:noProof/>
            <w:lang w:val="sr-Latn-ME"/>
          </w:rPr>
          <w:t>1.3.</w:t>
        </w:r>
        <w:r w:rsidRPr="007546E5">
          <w:rPr>
            <w:rStyle w:val="Hyperlink"/>
            <w:rFonts w:eastAsiaTheme="minorEastAsia"/>
            <w:noProof/>
            <w:kern w:val="2"/>
            <w:szCs w:val="22"/>
            <w:lang w:val="sr-Latn-ME" w:eastAsia="en-GB"/>
          </w:rPr>
          <w:tab/>
        </w:r>
        <w:r w:rsidRPr="007546E5">
          <w:rPr>
            <w:rStyle w:val="Hyperlink"/>
            <w:lang w:val="sr-Latn-ME"/>
          </w:rPr>
          <w:t>Finansijska sredstva koja obezbjeđuje ugovorno tijelo</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_Toc185257570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4</w:t>
        </w:r>
        <w:r w:rsidRPr="007546E5">
          <w:rPr>
            <w:rStyle w:val="Hyperlink"/>
            <w:noProof/>
            <w:webHidden/>
            <w:lang w:val="sr-Latn-ME"/>
          </w:rPr>
          <w:fldChar w:fldCharType="end"/>
        </w:r>
      </w:hyperlink>
    </w:p>
    <w:p w14:paraId="0DBC174B" w14:textId="7B2F0193" w:rsidR="008F7952" w:rsidRPr="007546E5" w:rsidRDefault="008F7952" w:rsidP="008F7952">
      <w:pPr>
        <w:pStyle w:val="TOC1"/>
        <w:rPr>
          <w:rFonts w:ascii="Times New Roman" w:eastAsiaTheme="minorEastAsia" w:hAnsi="Times New Roman"/>
          <w:b w:val="0"/>
          <w:caps w:val="0"/>
          <w:noProof/>
          <w:kern w:val="2"/>
          <w:szCs w:val="22"/>
          <w:lang w:val="sr-Latn-ME" w:eastAsia="en-GB"/>
        </w:rPr>
      </w:pPr>
      <w:hyperlink r:id="rId16" w:anchor="_Toc185257571" w:history="1">
        <w:r w:rsidRPr="007546E5">
          <w:rPr>
            <w:rStyle w:val="Hyperlink"/>
            <w:rFonts w:ascii="Times New Roman" w:hAnsi="Times New Roman"/>
            <w:noProof/>
            <w:lang w:val="sr-Latn-ME"/>
          </w:rPr>
          <w:t>2.</w:t>
        </w:r>
        <w:r w:rsidRPr="007546E5">
          <w:rPr>
            <w:rStyle w:val="Hyperlink"/>
            <w:rFonts w:ascii="Times New Roman" w:eastAsiaTheme="minorEastAsia" w:hAnsi="Times New Roman"/>
            <w:b w:val="0"/>
            <w:caps w:val="0"/>
            <w:noProof/>
            <w:kern w:val="2"/>
            <w:szCs w:val="22"/>
            <w:lang w:val="sr-Latn-ME" w:eastAsia="en-GB"/>
          </w:rPr>
          <w:tab/>
        </w:r>
        <w:r w:rsidRPr="007546E5">
          <w:rPr>
            <w:rStyle w:val="Hyperlink"/>
            <w:rFonts w:ascii="Times New Roman" w:hAnsi="Times New Roman"/>
            <w:lang w:val="sr-Latn-ME"/>
          </w:rPr>
          <w:t xml:space="preserve">PRAVILA ZA OVAJ POZIV ZA DOSTAVLJANJE </w:t>
        </w:r>
        <w:r w:rsidR="002832D2" w:rsidRPr="007546E5">
          <w:rPr>
            <w:rStyle w:val="Hyperlink"/>
            <w:rFonts w:ascii="Times New Roman" w:hAnsi="Times New Roman"/>
            <w:lang w:val="sr-Latn-ME"/>
          </w:rPr>
          <w:t>PRIJEDLOG</w:t>
        </w:r>
        <w:r w:rsidRPr="007546E5">
          <w:rPr>
            <w:rStyle w:val="Hyperlink"/>
            <w:rFonts w:ascii="Times New Roman" w:hAnsi="Times New Roman"/>
            <w:lang w:val="sr-Latn-ME"/>
          </w:rPr>
          <w:t>A PROJEKATA</w:t>
        </w:r>
        <w:r w:rsidRPr="007546E5">
          <w:rPr>
            <w:rStyle w:val="Hyperlink"/>
            <w:rFonts w:ascii="Times New Roman" w:hAnsi="Times New Roman"/>
            <w:noProof/>
            <w:webHidden/>
            <w:lang w:val="sr-Latn-ME"/>
          </w:rPr>
          <w:tab/>
        </w:r>
        <w:r w:rsidRPr="007546E5">
          <w:rPr>
            <w:rStyle w:val="Hyperlink"/>
            <w:rFonts w:ascii="Times New Roman" w:hAnsi="Times New Roman"/>
            <w:noProof/>
            <w:webHidden/>
            <w:lang w:val="sr-Latn-ME"/>
          </w:rPr>
          <w:fldChar w:fldCharType="begin"/>
        </w:r>
        <w:r w:rsidRPr="007546E5">
          <w:rPr>
            <w:rStyle w:val="Hyperlink"/>
            <w:rFonts w:ascii="Times New Roman" w:hAnsi="Times New Roman"/>
            <w:noProof/>
            <w:webHidden/>
            <w:lang w:val="sr-Latn-ME"/>
          </w:rPr>
          <w:instrText xml:space="preserve"> PAGEREF _Toc185257571 \h </w:instrText>
        </w:r>
        <w:r w:rsidRPr="007546E5">
          <w:rPr>
            <w:rStyle w:val="Hyperlink"/>
            <w:rFonts w:ascii="Times New Roman" w:hAnsi="Times New Roman"/>
            <w:noProof/>
            <w:webHidden/>
            <w:lang w:val="sr-Latn-ME"/>
          </w:rPr>
        </w:r>
        <w:r w:rsidRPr="007546E5">
          <w:rPr>
            <w:rStyle w:val="Hyperlink"/>
            <w:rFonts w:ascii="Times New Roman" w:hAnsi="Times New Roman"/>
            <w:noProof/>
            <w:webHidden/>
            <w:lang w:val="sr-Latn-ME"/>
          </w:rPr>
          <w:fldChar w:fldCharType="separate"/>
        </w:r>
        <w:r w:rsidRPr="007546E5">
          <w:rPr>
            <w:rStyle w:val="Hyperlink"/>
            <w:rFonts w:ascii="Times New Roman" w:hAnsi="Times New Roman"/>
            <w:noProof/>
            <w:webHidden/>
            <w:lang w:val="sr-Latn-ME"/>
          </w:rPr>
          <w:t>5</w:t>
        </w:r>
        <w:r w:rsidRPr="007546E5">
          <w:rPr>
            <w:rStyle w:val="Hyperlink"/>
            <w:rFonts w:ascii="Times New Roman" w:hAnsi="Times New Roman"/>
            <w:noProof/>
            <w:webHidden/>
            <w:lang w:val="sr-Latn-ME"/>
          </w:rPr>
          <w:fldChar w:fldCharType="end"/>
        </w:r>
      </w:hyperlink>
    </w:p>
    <w:p w14:paraId="03D64C53" w14:textId="77777777" w:rsidR="008F7952" w:rsidRPr="007546E5" w:rsidRDefault="008F7952" w:rsidP="008F7952">
      <w:pPr>
        <w:pStyle w:val="TOC2"/>
        <w:rPr>
          <w:rFonts w:eastAsiaTheme="minorEastAsia"/>
          <w:noProof/>
          <w:kern w:val="2"/>
          <w:szCs w:val="22"/>
          <w:lang w:val="sr-Latn-ME" w:eastAsia="en-GB"/>
        </w:rPr>
      </w:pPr>
      <w:hyperlink r:id="rId17" w:anchor="_Toc185257572" w:history="1">
        <w:r w:rsidRPr="007546E5">
          <w:rPr>
            <w:rStyle w:val="Hyperlink"/>
            <w:noProof/>
            <w:lang w:val="sr-Latn-ME"/>
          </w:rPr>
          <w:t>2.1.</w:t>
        </w:r>
        <w:r w:rsidRPr="007546E5">
          <w:rPr>
            <w:rStyle w:val="Hyperlink"/>
            <w:rFonts w:eastAsiaTheme="minorEastAsia"/>
            <w:noProof/>
            <w:kern w:val="2"/>
            <w:szCs w:val="22"/>
            <w:lang w:val="sr-Latn-ME" w:eastAsia="en-GB"/>
          </w:rPr>
          <w:tab/>
        </w:r>
        <w:r w:rsidRPr="007546E5">
          <w:rPr>
            <w:rStyle w:val="Hyperlink"/>
            <w:lang w:val="sr-Latn-ME"/>
          </w:rPr>
          <w:t>Kriterijumi prihvatljivosti</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_Toc185257572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5</w:t>
        </w:r>
        <w:r w:rsidRPr="007546E5">
          <w:rPr>
            <w:rStyle w:val="Hyperlink"/>
            <w:noProof/>
            <w:webHidden/>
            <w:lang w:val="sr-Latn-ME"/>
          </w:rPr>
          <w:fldChar w:fldCharType="end"/>
        </w:r>
      </w:hyperlink>
    </w:p>
    <w:p w14:paraId="4F3AC8D8" w14:textId="77777777" w:rsidR="008F7952" w:rsidRPr="007546E5" w:rsidRDefault="008F7952" w:rsidP="008F7952">
      <w:pPr>
        <w:pStyle w:val="TOC3"/>
        <w:rPr>
          <w:rFonts w:eastAsiaTheme="minorEastAsia"/>
          <w:kern w:val="2"/>
          <w:sz w:val="22"/>
          <w:szCs w:val="22"/>
          <w:lang w:val="sr-Latn-ME" w:eastAsia="en-GB"/>
        </w:rPr>
      </w:pPr>
      <w:hyperlink r:id="rId18" w:anchor="_Toc185257573" w:history="1">
        <w:r w:rsidRPr="007546E5">
          <w:rPr>
            <w:rStyle w:val="Hyperlink"/>
            <w:lang w:val="sr-Latn-ME"/>
          </w:rPr>
          <w:t>2.1.1.</w:t>
        </w:r>
        <w:r w:rsidRPr="007546E5">
          <w:rPr>
            <w:rStyle w:val="Hyperlink"/>
            <w:rFonts w:eastAsiaTheme="minorEastAsia"/>
            <w:kern w:val="2"/>
            <w:sz w:val="22"/>
            <w:szCs w:val="22"/>
            <w:lang w:val="sr-Latn-ME" w:eastAsia="en-GB"/>
          </w:rPr>
          <w:tab/>
        </w:r>
        <w:r w:rsidRPr="007546E5">
          <w:rPr>
            <w:rStyle w:val="Hyperlink"/>
            <w:lang w:val="sr-Latn-ME"/>
          </w:rPr>
          <w:t>Prihvatljivost podnosilaca prijava (tj. vodeći podnosilac prijave i su-podnosilac(ci) prijave)</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_Toc185257573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6</w:t>
        </w:r>
        <w:r w:rsidRPr="007546E5">
          <w:rPr>
            <w:rStyle w:val="Hyperlink"/>
            <w:webHidden/>
            <w:lang w:val="sr-Latn-ME"/>
          </w:rPr>
          <w:fldChar w:fldCharType="end"/>
        </w:r>
      </w:hyperlink>
    </w:p>
    <w:p w14:paraId="1D37E541" w14:textId="77777777" w:rsidR="008F7952" w:rsidRPr="007546E5" w:rsidRDefault="008F7952" w:rsidP="008F7952">
      <w:pPr>
        <w:pStyle w:val="TOC3"/>
        <w:rPr>
          <w:rFonts w:eastAsiaTheme="minorEastAsia"/>
          <w:kern w:val="2"/>
          <w:sz w:val="22"/>
          <w:szCs w:val="22"/>
          <w:lang w:val="sr-Latn-ME" w:eastAsia="en-GB"/>
        </w:rPr>
      </w:pPr>
      <w:hyperlink r:id="rId19" w:anchor="_Toc185257574" w:history="1">
        <w:r w:rsidRPr="007546E5">
          <w:rPr>
            <w:rStyle w:val="Hyperlink"/>
            <w:lang w:val="sr-Latn-ME"/>
          </w:rPr>
          <w:t>2.1.2.</w:t>
        </w:r>
        <w:r w:rsidRPr="007546E5">
          <w:rPr>
            <w:rStyle w:val="Hyperlink"/>
            <w:rFonts w:eastAsiaTheme="minorEastAsia"/>
            <w:kern w:val="2"/>
            <w:sz w:val="22"/>
            <w:szCs w:val="22"/>
            <w:lang w:val="sr-Latn-ME" w:eastAsia="en-GB"/>
          </w:rPr>
          <w:tab/>
        </w:r>
        <w:r w:rsidRPr="007546E5">
          <w:rPr>
            <w:rStyle w:val="Hyperlink"/>
            <w:lang w:val="sr-Latn-ME"/>
          </w:rPr>
          <w:t>Saradnici, izvođači, korisnici finansijske podrške</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_Toc185257574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8</w:t>
        </w:r>
        <w:r w:rsidRPr="007546E5">
          <w:rPr>
            <w:rStyle w:val="Hyperlink"/>
            <w:webHidden/>
            <w:lang w:val="sr-Latn-ME"/>
          </w:rPr>
          <w:fldChar w:fldCharType="end"/>
        </w:r>
      </w:hyperlink>
    </w:p>
    <w:p w14:paraId="0462BFD7" w14:textId="77777777" w:rsidR="008F7952" w:rsidRPr="007546E5" w:rsidRDefault="008F7952" w:rsidP="008F7952">
      <w:pPr>
        <w:pStyle w:val="TOC3"/>
        <w:rPr>
          <w:rFonts w:eastAsiaTheme="minorEastAsia"/>
          <w:kern w:val="2"/>
          <w:sz w:val="22"/>
          <w:szCs w:val="22"/>
          <w:lang w:val="sr-Latn-ME" w:eastAsia="en-GB"/>
        </w:rPr>
      </w:pPr>
      <w:hyperlink r:id="rId20" w:anchor="_Toc185257575" w:history="1">
        <w:r w:rsidRPr="007546E5">
          <w:rPr>
            <w:rStyle w:val="Hyperlink"/>
            <w:lang w:val="sr-Latn-ME"/>
          </w:rPr>
          <w:t>2.1.3.</w:t>
        </w:r>
        <w:r w:rsidRPr="007546E5">
          <w:rPr>
            <w:rStyle w:val="Hyperlink"/>
            <w:rFonts w:eastAsiaTheme="minorEastAsia"/>
            <w:kern w:val="2"/>
            <w:sz w:val="22"/>
            <w:szCs w:val="22"/>
            <w:lang w:val="sr-Latn-ME" w:eastAsia="en-GB"/>
          </w:rPr>
          <w:tab/>
        </w:r>
        <w:r w:rsidRPr="007546E5">
          <w:rPr>
            <w:rStyle w:val="Hyperlink"/>
            <w:lang w:val="sr-Latn-ME"/>
          </w:rPr>
          <w:t>Prihvatljive akcije: akcije za koje se može podnijeti prijava</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_Toc185257575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9</w:t>
        </w:r>
        <w:r w:rsidRPr="007546E5">
          <w:rPr>
            <w:rStyle w:val="Hyperlink"/>
            <w:webHidden/>
            <w:lang w:val="sr-Latn-ME"/>
          </w:rPr>
          <w:fldChar w:fldCharType="end"/>
        </w:r>
      </w:hyperlink>
    </w:p>
    <w:p w14:paraId="5B664AAF" w14:textId="77777777" w:rsidR="008F7952" w:rsidRPr="007546E5" w:rsidRDefault="008F7952" w:rsidP="008F7952">
      <w:pPr>
        <w:pStyle w:val="TOC3"/>
        <w:rPr>
          <w:rFonts w:eastAsiaTheme="minorEastAsia"/>
          <w:kern w:val="2"/>
          <w:sz w:val="22"/>
          <w:szCs w:val="22"/>
          <w:lang w:val="sr-Latn-ME" w:eastAsia="en-GB"/>
        </w:rPr>
      </w:pPr>
      <w:hyperlink r:id="rId21" w:anchor="_Toc185257576" w:history="1">
        <w:r w:rsidRPr="007546E5">
          <w:rPr>
            <w:rStyle w:val="Hyperlink"/>
            <w:lang w:val="sr-Latn-ME"/>
          </w:rPr>
          <w:t>2.1.4.</w:t>
        </w:r>
        <w:r w:rsidRPr="007546E5">
          <w:rPr>
            <w:rStyle w:val="Hyperlink"/>
            <w:rFonts w:eastAsiaTheme="minorEastAsia"/>
            <w:kern w:val="2"/>
            <w:sz w:val="22"/>
            <w:szCs w:val="22"/>
            <w:lang w:val="sr-Latn-ME" w:eastAsia="en-GB"/>
          </w:rPr>
          <w:tab/>
        </w:r>
        <w:r w:rsidRPr="007546E5">
          <w:rPr>
            <w:rStyle w:val="Hyperlink"/>
            <w:lang w:val="sr-Latn-ME"/>
          </w:rPr>
          <w:t>Prihvatljivost troškova i prihvatljivost rezultata/uslova</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_Toc185257576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11</w:t>
        </w:r>
        <w:r w:rsidRPr="007546E5">
          <w:rPr>
            <w:rStyle w:val="Hyperlink"/>
            <w:webHidden/>
            <w:lang w:val="sr-Latn-ME"/>
          </w:rPr>
          <w:fldChar w:fldCharType="end"/>
        </w:r>
      </w:hyperlink>
    </w:p>
    <w:p w14:paraId="7E4C0286" w14:textId="77777777" w:rsidR="008F7952" w:rsidRPr="007546E5" w:rsidRDefault="008F7952" w:rsidP="008F7952">
      <w:pPr>
        <w:pStyle w:val="TOC3"/>
        <w:rPr>
          <w:rFonts w:eastAsiaTheme="minorEastAsia"/>
          <w:kern w:val="2"/>
          <w:sz w:val="22"/>
          <w:szCs w:val="22"/>
          <w:lang w:val="sr-Latn-ME" w:eastAsia="en-GB"/>
        </w:rPr>
      </w:pPr>
      <w:hyperlink r:id="rId22" w:anchor="_Toc185257577" w:history="1">
        <w:r w:rsidRPr="007546E5">
          <w:rPr>
            <w:rStyle w:val="Hyperlink"/>
            <w:lang w:val="sr-Latn-ME"/>
          </w:rPr>
          <w:t>2.1.5.</w:t>
        </w:r>
        <w:r w:rsidRPr="007546E5">
          <w:rPr>
            <w:rStyle w:val="Hyperlink"/>
            <w:rFonts w:eastAsiaTheme="minorEastAsia"/>
            <w:kern w:val="2"/>
            <w:sz w:val="22"/>
            <w:szCs w:val="22"/>
            <w:lang w:val="sr-Latn-ME" w:eastAsia="en-GB"/>
          </w:rPr>
          <w:tab/>
        </w:r>
        <w:r w:rsidRPr="007546E5">
          <w:rPr>
            <w:rStyle w:val="Hyperlink"/>
            <w:lang w:val="sr-Latn-ME"/>
          </w:rPr>
          <w:t>Etika i vrijednosti</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_Toc185257577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14</w:t>
        </w:r>
        <w:r w:rsidRPr="007546E5">
          <w:rPr>
            <w:rStyle w:val="Hyperlink"/>
            <w:webHidden/>
            <w:lang w:val="sr-Latn-ME"/>
          </w:rPr>
          <w:fldChar w:fldCharType="end"/>
        </w:r>
      </w:hyperlink>
    </w:p>
    <w:p w14:paraId="4509BE8C" w14:textId="77777777" w:rsidR="008F7952" w:rsidRPr="007546E5" w:rsidRDefault="008F7952" w:rsidP="008F7952">
      <w:pPr>
        <w:pStyle w:val="TOC2"/>
        <w:rPr>
          <w:rFonts w:eastAsiaTheme="minorEastAsia"/>
          <w:noProof/>
          <w:kern w:val="2"/>
          <w:szCs w:val="22"/>
          <w:lang w:val="sr-Latn-ME" w:eastAsia="en-GB"/>
        </w:rPr>
      </w:pPr>
      <w:hyperlink r:id="rId23" w:anchor="_Toc185257578" w:history="1">
        <w:r w:rsidRPr="007546E5">
          <w:rPr>
            <w:rStyle w:val="Hyperlink"/>
            <w:noProof/>
            <w:lang w:val="sr-Latn-ME"/>
          </w:rPr>
          <w:t>2.2.</w:t>
        </w:r>
        <w:r w:rsidRPr="007546E5">
          <w:rPr>
            <w:rStyle w:val="Hyperlink"/>
            <w:rFonts w:eastAsiaTheme="minorEastAsia"/>
            <w:noProof/>
            <w:kern w:val="2"/>
            <w:szCs w:val="22"/>
            <w:lang w:val="sr-Latn-ME" w:eastAsia="en-GB"/>
          </w:rPr>
          <w:tab/>
        </w:r>
        <w:r w:rsidRPr="007546E5">
          <w:rPr>
            <w:rStyle w:val="Hyperlink"/>
            <w:lang w:val="sr-Latn-ME"/>
          </w:rPr>
          <w:t>Način prijavljivanja i procedure koje treba slijediti</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_Toc185257578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15</w:t>
        </w:r>
        <w:r w:rsidRPr="007546E5">
          <w:rPr>
            <w:rStyle w:val="Hyperlink"/>
            <w:noProof/>
            <w:webHidden/>
            <w:lang w:val="sr-Latn-ME"/>
          </w:rPr>
          <w:fldChar w:fldCharType="end"/>
        </w:r>
      </w:hyperlink>
    </w:p>
    <w:p w14:paraId="21DFE20B" w14:textId="77777777" w:rsidR="008F7952" w:rsidRPr="007546E5" w:rsidRDefault="008F7952" w:rsidP="008F7952">
      <w:pPr>
        <w:pStyle w:val="TOC3"/>
        <w:rPr>
          <w:rFonts w:eastAsiaTheme="minorEastAsia"/>
          <w:kern w:val="2"/>
          <w:sz w:val="22"/>
          <w:szCs w:val="22"/>
          <w:lang w:val="sr-Latn-ME" w:eastAsia="en-GB"/>
        </w:rPr>
      </w:pPr>
      <w:hyperlink r:id="rId24" w:anchor="_Toc185257579" w:history="1">
        <w:r w:rsidRPr="007546E5">
          <w:rPr>
            <w:rStyle w:val="Hyperlink"/>
            <w:lang w:val="sr-Latn-ME"/>
          </w:rPr>
          <w:t>2.2.1.</w:t>
        </w:r>
        <w:r w:rsidRPr="007546E5">
          <w:rPr>
            <w:rStyle w:val="Hyperlink"/>
            <w:rFonts w:eastAsiaTheme="minorEastAsia"/>
            <w:kern w:val="2"/>
            <w:sz w:val="22"/>
            <w:szCs w:val="22"/>
            <w:lang w:val="sr-Latn-ME" w:eastAsia="en-GB"/>
          </w:rPr>
          <w:tab/>
        </w:r>
        <w:r w:rsidRPr="007546E5">
          <w:rPr>
            <w:rStyle w:val="Hyperlink"/>
            <w:lang w:val="sr-Latn-ME"/>
          </w:rPr>
          <w:t>Obrasci prijave</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_Toc185257579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16</w:t>
        </w:r>
        <w:r w:rsidRPr="007546E5">
          <w:rPr>
            <w:rStyle w:val="Hyperlink"/>
            <w:webHidden/>
            <w:lang w:val="sr-Latn-ME"/>
          </w:rPr>
          <w:fldChar w:fldCharType="end"/>
        </w:r>
      </w:hyperlink>
    </w:p>
    <w:p w14:paraId="24EF8A07" w14:textId="77777777" w:rsidR="008F7952" w:rsidRPr="007546E5" w:rsidRDefault="008F7952" w:rsidP="008F7952">
      <w:pPr>
        <w:pStyle w:val="TOC3"/>
        <w:rPr>
          <w:rFonts w:eastAsiaTheme="minorEastAsia"/>
          <w:kern w:val="2"/>
          <w:sz w:val="22"/>
          <w:szCs w:val="22"/>
          <w:lang w:val="sr-Latn-ME" w:eastAsia="en-GB"/>
        </w:rPr>
      </w:pPr>
      <w:hyperlink r:id="rId25" w:anchor="_Toc185257580" w:history="1">
        <w:r w:rsidRPr="007546E5">
          <w:rPr>
            <w:rStyle w:val="Hyperlink"/>
            <w:lang w:val="sr-Latn-ME"/>
          </w:rPr>
          <w:t>2.2.2.</w:t>
        </w:r>
        <w:r w:rsidRPr="007546E5">
          <w:rPr>
            <w:rStyle w:val="Hyperlink"/>
            <w:rFonts w:eastAsiaTheme="minorEastAsia"/>
            <w:kern w:val="2"/>
            <w:sz w:val="22"/>
            <w:szCs w:val="22"/>
            <w:lang w:val="sr-Latn-ME" w:eastAsia="en-GB"/>
          </w:rPr>
          <w:tab/>
        </w:r>
        <w:r w:rsidRPr="007546E5">
          <w:rPr>
            <w:rStyle w:val="Hyperlink"/>
            <w:lang w:val="sr-Latn-ME"/>
          </w:rPr>
          <w:t>Gdje i kako podnijeti prijave</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_Toc185257580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18</w:t>
        </w:r>
        <w:r w:rsidRPr="007546E5">
          <w:rPr>
            <w:rStyle w:val="Hyperlink"/>
            <w:webHidden/>
            <w:lang w:val="sr-Latn-ME"/>
          </w:rPr>
          <w:fldChar w:fldCharType="end"/>
        </w:r>
      </w:hyperlink>
    </w:p>
    <w:p w14:paraId="148EF3B4" w14:textId="77777777" w:rsidR="008F7952" w:rsidRPr="007546E5" w:rsidRDefault="008F7952" w:rsidP="008F7952">
      <w:pPr>
        <w:pStyle w:val="TOC3"/>
        <w:rPr>
          <w:rFonts w:eastAsiaTheme="minorEastAsia"/>
          <w:kern w:val="2"/>
          <w:sz w:val="22"/>
          <w:szCs w:val="22"/>
          <w:lang w:val="sr-Latn-ME" w:eastAsia="en-GB"/>
        </w:rPr>
      </w:pPr>
      <w:hyperlink r:id="rId26" w:anchor="_Toc185257581" w:history="1">
        <w:r w:rsidRPr="007546E5">
          <w:rPr>
            <w:rStyle w:val="Hyperlink"/>
            <w:lang w:val="sr-Latn-ME"/>
          </w:rPr>
          <w:t>2.2.3.</w:t>
        </w:r>
        <w:r w:rsidRPr="007546E5">
          <w:rPr>
            <w:rStyle w:val="Hyperlink"/>
            <w:rFonts w:eastAsiaTheme="minorEastAsia"/>
            <w:kern w:val="2"/>
            <w:sz w:val="22"/>
            <w:szCs w:val="22"/>
            <w:lang w:val="sr-Latn-ME" w:eastAsia="en-GB"/>
          </w:rPr>
          <w:tab/>
        </w:r>
        <w:r w:rsidRPr="007546E5">
          <w:rPr>
            <w:rStyle w:val="Hyperlink"/>
            <w:bCs/>
            <w:noProof w:val="0"/>
            <w:sz w:val="22"/>
            <w:lang w:val="sr-Latn-ME"/>
          </w:rPr>
          <w:t>Rok za podnošenje prijava</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_Toc185257581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19</w:t>
        </w:r>
        <w:r w:rsidRPr="007546E5">
          <w:rPr>
            <w:rStyle w:val="Hyperlink"/>
            <w:webHidden/>
            <w:lang w:val="sr-Latn-ME"/>
          </w:rPr>
          <w:fldChar w:fldCharType="end"/>
        </w:r>
      </w:hyperlink>
    </w:p>
    <w:p w14:paraId="4B280CF8" w14:textId="77777777" w:rsidR="008F7952" w:rsidRPr="007546E5" w:rsidRDefault="008F7952" w:rsidP="008F7952">
      <w:pPr>
        <w:pStyle w:val="TOC3"/>
        <w:rPr>
          <w:rFonts w:eastAsiaTheme="minorEastAsia"/>
          <w:kern w:val="2"/>
          <w:sz w:val="22"/>
          <w:szCs w:val="22"/>
          <w:lang w:val="sr-Latn-ME" w:eastAsia="en-GB"/>
        </w:rPr>
      </w:pPr>
      <w:hyperlink r:id="rId27" w:anchor="_Toc185257582" w:history="1">
        <w:r w:rsidRPr="007546E5">
          <w:rPr>
            <w:rStyle w:val="Hyperlink"/>
            <w:lang w:val="sr-Latn-ME"/>
          </w:rPr>
          <w:t>2.2.4.</w:t>
        </w:r>
        <w:r w:rsidRPr="007546E5">
          <w:rPr>
            <w:rStyle w:val="Hyperlink"/>
            <w:rFonts w:eastAsiaTheme="minorEastAsia"/>
            <w:kern w:val="2"/>
            <w:sz w:val="22"/>
            <w:szCs w:val="22"/>
            <w:lang w:val="sr-Latn-ME" w:eastAsia="en-GB"/>
          </w:rPr>
          <w:tab/>
        </w:r>
        <w:r w:rsidRPr="007546E5">
          <w:rPr>
            <w:rStyle w:val="Hyperlink"/>
            <w:lang w:val="sr-Latn-ME"/>
          </w:rPr>
          <w:t>Dodatne informacije o prijavama</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_Toc185257582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20</w:t>
        </w:r>
        <w:r w:rsidRPr="007546E5">
          <w:rPr>
            <w:rStyle w:val="Hyperlink"/>
            <w:webHidden/>
            <w:lang w:val="sr-Latn-ME"/>
          </w:rPr>
          <w:fldChar w:fldCharType="end"/>
        </w:r>
      </w:hyperlink>
    </w:p>
    <w:p w14:paraId="5A8651FF" w14:textId="77777777" w:rsidR="008F7952" w:rsidRPr="007546E5" w:rsidRDefault="008F7952" w:rsidP="008F7952">
      <w:pPr>
        <w:pStyle w:val="TOC2"/>
        <w:rPr>
          <w:rFonts w:eastAsiaTheme="minorEastAsia"/>
          <w:noProof/>
          <w:kern w:val="2"/>
          <w:szCs w:val="22"/>
          <w:lang w:val="sr-Latn-ME" w:eastAsia="en-GB"/>
        </w:rPr>
      </w:pPr>
      <w:hyperlink r:id="rId28" w:anchor="_Toc185257583" w:history="1">
        <w:r w:rsidRPr="007546E5">
          <w:rPr>
            <w:rStyle w:val="Hyperlink"/>
            <w:noProof/>
            <w:lang w:val="sr-Latn-ME"/>
          </w:rPr>
          <w:t>2.3.</w:t>
        </w:r>
        <w:r w:rsidRPr="007546E5">
          <w:rPr>
            <w:rStyle w:val="Hyperlink"/>
            <w:rFonts w:eastAsiaTheme="minorEastAsia"/>
            <w:noProof/>
            <w:kern w:val="2"/>
            <w:szCs w:val="22"/>
            <w:lang w:val="sr-Latn-ME" w:eastAsia="en-GB"/>
          </w:rPr>
          <w:tab/>
        </w:r>
        <w:r w:rsidRPr="007546E5">
          <w:rPr>
            <w:rStyle w:val="Hyperlink"/>
            <w:noProof/>
            <w:lang w:val="sr-Latn-ME"/>
          </w:rPr>
          <w:t>Evaluacija</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_Toc185257583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20</w:t>
        </w:r>
        <w:r w:rsidRPr="007546E5">
          <w:rPr>
            <w:rStyle w:val="Hyperlink"/>
            <w:noProof/>
            <w:webHidden/>
            <w:lang w:val="sr-Latn-ME"/>
          </w:rPr>
          <w:fldChar w:fldCharType="end"/>
        </w:r>
      </w:hyperlink>
    </w:p>
    <w:p w14:paraId="6E047D8C" w14:textId="77777777" w:rsidR="008F7952" w:rsidRPr="007546E5" w:rsidRDefault="008F7952" w:rsidP="008F7952">
      <w:pPr>
        <w:pStyle w:val="TOC3"/>
        <w:rPr>
          <w:rFonts w:eastAsiaTheme="minorEastAsia"/>
          <w:kern w:val="2"/>
          <w:sz w:val="22"/>
          <w:szCs w:val="22"/>
          <w:lang w:val="sr-Latn-ME" w:eastAsia="en-GB"/>
        </w:rPr>
      </w:pPr>
      <w:hyperlink r:id="rId29" w:anchor="_Toc185257584" w:history="1">
        <w:r w:rsidRPr="007546E5">
          <w:rPr>
            <w:rStyle w:val="Hyperlink"/>
            <w:lang w:val="sr-Latn-ME"/>
          </w:rPr>
          <w:t>2.3.1.</w:t>
        </w:r>
        <w:r w:rsidRPr="007546E5">
          <w:rPr>
            <w:rStyle w:val="Hyperlink"/>
            <w:rFonts w:eastAsiaTheme="minorEastAsia"/>
            <w:kern w:val="2"/>
            <w:sz w:val="22"/>
            <w:szCs w:val="22"/>
            <w:lang w:val="sr-Latn-ME" w:eastAsia="en-GB"/>
          </w:rPr>
          <w:tab/>
        </w:r>
        <w:r w:rsidRPr="007546E5">
          <w:rPr>
            <w:rStyle w:val="Hyperlink"/>
            <w:lang w:val="sr-Latn-ME"/>
          </w:rPr>
          <w:t>KORAK 1: [OTVARANJE I] ADMINISTRATIVNE PROVJERE I OCJENJIVANJE SAŽETOG OPISA PROJEKTA</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_Toc185257584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21</w:t>
        </w:r>
        <w:r w:rsidRPr="007546E5">
          <w:rPr>
            <w:rStyle w:val="Hyperlink"/>
            <w:webHidden/>
            <w:lang w:val="sr-Latn-ME"/>
          </w:rPr>
          <w:fldChar w:fldCharType="end"/>
        </w:r>
      </w:hyperlink>
    </w:p>
    <w:p w14:paraId="3D5162DD" w14:textId="77777777" w:rsidR="008F7952" w:rsidRPr="007546E5" w:rsidRDefault="008F7952" w:rsidP="008F7952">
      <w:pPr>
        <w:pStyle w:val="TOC3"/>
        <w:rPr>
          <w:rFonts w:eastAsiaTheme="minorEastAsia"/>
          <w:kern w:val="2"/>
          <w:sz w:val="22"/>
          <w:szCs w:val="22"/>
          <w:lang w:val="sr-Latn-ME" w:eastAsia="en-GB"/>
        </w:rPr>
      </w:pPr>
      <w:hyperlink r:id="rId30" w:anchor="_Toc185257585" w:history="1">
        <w:r w:rsidRPr="007546E5">
          <w:rPr>
            <w:rStyle w:val="Hyperlink"/>
            <w:lang w:val="sr-Latn-ME"/>
          </w:rPr>
          <w:t>2.3.2.</w:t>
        </w:r>
        <w:r w:rsidRPr="007546E5">
          <w:rPr>
            <w:rStyle w:val="Hyperlink"/>
            <w:rFonts w:eastAsiaTheme="minorEastAsia"/>
            <w:kern w:val="2"/>
            <w:sz w:val="22"/>
            <w:szCs w:val="22"/>
            <w:lang w:val="sr-Latn-ME" w:eastAsia="en-GB"/>
          </w:rPr>
          <w:tab/>
        </w:r>
        <w:r w:rsidRPr="007546E5">
          <w:rPr>
            <w:rStyle w:val="Hyperlink"/>
            <w:lang w:val="sr-Latn-ME"/>
          </w:rPr>
          <w:t>KORAK 2: OCJENJIVANJE KOMPLETNE PRIJAVE</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_Toc185257585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22</w:t>
        </w:r>
        <w:r w:rsidRPr="007546E5">
          <w:rPr>
            <w:rStyle w:val="Hyperlink"/>
            <w:webHidden/>
            <w:lang w:val="sr-Latn-ME"/>
          </w:rPr>
          <w:fldChar w:fldCharType="end"/>
        </w:r>
      </w:hyperlink>
    </w:p>
    <w:p w14:paraId="764A8DA0" w14:textId="77777777" w:rsidR="008F7952" w:rsidRPr="007546E5" w:rsidRDefault="008F7952" w:rsidP="008F7952">
      <w:pPr>
        <w:pStyle w:val="TOC3"/>
        <w:rPr>
          <w:rFonts w:eastAsiaTheme="minorEastAsia"/>
          <w:kern w:val="2"/>
          <w:sz w:val="22"/>
          <w:szCs w:val="22"/>
          <w:lang w:val="sr-Latn-ME" w:eastAsia="en-GB"/>
        </w:rPr>
      </w:pPr>
      <w:hyperlink r:id="rId31" w:anchor="_Toc185257586" w:history="1">
        <w:r w:rsidRPr="007546E5">
          <w:rPr>
            <w:rStyle w:val="Hyperlink"/>
            <w:lang w:val="sr-Latn-ME"/>
          </w:rPr>
          <w:t>2.3.3.</w:t>
        </w:r>
        <w:r w:rsidRPr="007546E5">
          <w:rPr>
            <w:rStyle w:val="Hyperlink"/>
            <w:rFonts w:eastAsiaTheme="minorEastAsia"/>
            <w:kern w:val="2"/>
            <w:sz w:val="22"/>
            <w:szCs w:val="22"/>
            <w:lang w:val="sr-Latn-ME" w:eastAsia="en-GB"/>
          </w:rPr>
          <w:tab/>
        </w:r>
        <w:r w:rsidRPr="007546E5">
          <w:rPr>
            <w:rStyle w:val="Hyperlink"/>
            <w:lang w:val="sr-Latn-ME"/>
          </w:rPr>
          <w:t>KORAK 3: PROVJERA PRIHVATLJIVOSTI PODNOSILACA PRIJAVA I POVEZANIH SUBJEKATA I DRUGE PRATEĆE DOKUMENTACIJE</w:t>
        </w:r>
        <w:r w:rsidRPr="007546E5">
          <w:rPr>
            <w:rStyle w:val="Hyperlink"/>
            <w:webHidden/>
            <w:lang w:val="sr-Latn-ME"/>
          </w:rPr>
          <w:tab/>
        </w:r>
        <w:r w:rsidRPr="007546E5">
          <w:rPr>
            <w:rStyle w:val="Hyperlink"/>
            <w:webHidden/>
            <w:lang w:val="sr-Latn-ME"/>
          </w:rPr>
          <w:fldChar w:fldCharType="begin"/>
        </w:r>
        <w:r w:rsidRPr="007546E5">
          <w:rPr>
            <w:rStyle w:val="Hyperlink"/>
            <w:webHidden/>
            <w:lang w:val="sr-Latn-ME"/>
          </w:rPr>
          <w:instrText xml:space="preserve"> PAGEREF _Toc185257586 \h </w:instrText>
        </w:r>
        <w:r w:rsidRPr="007546E5">
          <w:rPr>
            <w:rStyle w:val="Hyperlink"/>
            <w:webHidden/>
            <w:lang w:val="sr-Latn-ME"/>
          </w:rPr>
        </w:r>
        <w:r w:rsidRPr="007546E5">
          <w:rPr>
            <w:rStyle w:val="Hyperlink"/>
            <w:webHidden/>
            <w:lang w:val="sr-Latn-ME"/>
          </w:rPr>
          <w:fldChar w:fldCharType="separate"/>
        </w:r>
        <w:r w:rsidRPr="007546E5">
          <w:rPr>
            <w:rStyle w:val="Hyperlink"/>
            <w:webHidden/>
            <w:lang w:val="sr-Latn-ME"/>
          </w:rPr>
          <w:t>24</w:t>
        </w:r>
        <w:r w:rsidRPr="007546E5">
          <w:rPr>
            <w:rStyle w:val="Hyperlink"/>
            <w:webHidden/>
            <w:lang w:val="sr-Latn-ME"/>
          </w:rPr>
          <w:fldChar w:fldCharType="end"/>
        </w:r>
      </w:hyperlink>
    </w:p>
    <w:p w14:paraId="25282F0F" w14:textId="77777777" w:rsidR="008F7952" w:rsidRPr="007546E5" w:rsidRDefault="008F7952" w:rsidP="008F7952">
      <w:pPr>
        <w:pStyle w:val="TOC2"/>
        <w:rPr>
          <w:rFonts w:eastAsiaTheme="minorEastAsia"/>
          <w:noProof/>
          <w:kern w:val="2"/>
          <w:szCs w:val="22"/>
          <w:lang w:val="sr-Latn-ME" w:eastAsia="en-GB"/>
        </w:rPr>
      </w:pPr>
      <w:hyperlink r:id="rId32" w:anchor="_Toc185257587" w:history="1">
        <w:r w:rsidRPr="007546E5">
          <w:rPr>
            <w:rStyle w:val="Hyperlink"/>
            <w:noProof/>
            <w:lang w:val="sr-Latn-ME"/>
          </w:rPr>
          <w:t>2.4.</w:t>
        </w:r>
        <w:r w:rsidRPr="007546E5">
          <w:rPr>
            <w:rStyle w:val="Hyperlink"/>
            <w:rFonts w:eastAsiaTheme="minorEastAsia"/>
            <w:noProof/>
            <w:kern w:val="2"/>
            <w:szCs w:val="22"/>
            <w:lang w:val="sr-Latn-ME" w:eastAsia="en-GB"/>
          </w:rPr>
          <w:tab/>
        </w:r>
        <w:r w:rsidRPr="007546E5">
          <w:rPr>
            <w:rStyle w:val="Hyperlink"/>
            <w:lang w:val="sr-Latn-ME"/>
          </w:rPr>
          <w:t>Odluka o dodjeli sredstava</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_Toc185257587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24</w:t>
        </w:r>
        <w:r w:rsidRPr="007546E5">
          <w:rPr>
            <w:rStyle w:val="Hyperlink"/>
            <w:noProof/>
            <w:webHidden/>
            <w:lang w:val="sr-Latn-ME"/>
          </w:rPr>
          <w:fldChar w:fldCharType="end"/>
        </w:r>
      </w:hyperlink>
    </w:p>
    <w:p w14:paraId="11A216B6" w14:textId="77777777" w:rsidR="008F7952" w:rsidRPr="007546E5" w:rsidRDefault="008F7952" w:rsidP="008F7952">
      <w:pPr>
        <w:pStyle w:val="TOC2"/>
        <w:rPr>
          <w:rFonts w:eastAsiaTheme="minorEastAsia"/>
          <w:noProof/>
          <w:kern w:val="2"/>
          <w:szCs w:val="22"/>
          <w:lang w:val="sr-Latn-ME" w:eastAsia="en-GB"/>
        </w:rPr>
      </w:pPr>
      <w:hyperlink r:id="rId33" w:anchor="_Toc185257588" w:history="1">
        <w:r w:rsidRPr="007546E5">
          <w:rPr>
            <w:rStyle w:val="Hyperlink"/>
            <w:noProof/>
            <w:lang w:val="sr-Latn-ME"/>
          </w:rPr>
          <w:t>2.5.</w:t>
        </w:r>
        <w:r w:rsidRPr="007546E5">
          <w:rPr>
            <w:rStyle w:val="Hyperlink"/>
            <w:rFonts w:eastAsiaTheme="minorEastAsia"/>
            <w:noProof/>
            <w:kern w:val="2"/>
            <w:szCs w:val="22"/>
            <w:lang w:val="sr-Latn-ME" w:eastAsia="en-GB"/>
          </w:rPr>
          <w:tab/>
        </w:r>
        <w:r w:rsidRPr="007546E5">
          <w:rPr>
            <w:rStyle w:val="Hyperlink"/>
            <w:lang w:val="sr-Latn-ME"/>
          </w:rPr>
          <w:t>Obavještenje o odluci ugovornog tijela</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_Toc185257588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24</w:t>
        </w:r>
        <w:r w:rsidRPr="007546E5">
          <w:rPr>
            <w:rStyle w:val="Hyperlink"/>
            <w:noProof/>
            <w:webHidden/>
            <w:lang w:val="sr-Latn-ME"/>
          </w:rPr>
          <w:fldChar w:fldCharType="end"/>
        </w:r>
      </w:hyperlink>
    </w:p>
    <w:p w14:paraId="124E09CE" w14:textId="77777777" w:rsidR="008F7952" w:rsidRPr="007546E5" w:rsidRDefault="008F7952" w:rsidP="008F7952">
      <w:pPr>
        <w:pStyle w:val="TOC2"/>
        <w:rPr>
          <w:rFonts w:eastAsiaTheme="minorEastAsia"/>
          <w:noProof/>
          <w:kern w:val="2"/>
          <w:szCs w:val="22"/>
          <w:lang w:val="sr-Latn-ME" w:eastAsia="en-GB"/>
        </w:rPr>
      </w:pPr>
      <w:hyperlink r:id="rId34" w:anchor="_Toc185257589" w:history="1">
        <w:r w:rsidRPr="007546E5">
          <w:rPr>
            <w:rStyle w:val="Hyperlink"/>
            <w:noProof/>
            <w:lang w:val="sr-Latn-ME"/>
          </w:rPr>
          <w:t>2.6.</w:t>
        </w:r>
        <w:r w:rsidRPr="007546E5">
          <w:rPr>
            <w:rStyle w:val="Hyperlink"/>
            <w:rFonts w:eastAsiaTheme="minorEastAsia"/>
            <w:noProof/>
            <w:kern w:val="2"/>
            <w:szCs w:val="22"/>
            <w:lang w:val="sr-Latn-ME" w:eastAsia="en-GB"/>
          </w:rPr>
          <w:tab/>
        </w:r>
        <w:r w:rsidRPr="007546E5">
          <w:rPr>
            <w:rStyle w:val="Hyperlink"/>
            <w:lang w:val="sr-Latn-ME"/>
          </w:rPr>
          <w:t>Potpisivanje ugovora o grantu</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_Toc185257589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25</w:t>
        </w:r>
        <w:r w:rsidRPr="007546E5">
          <w:rPr>
            <w:rStyle w:val="Hyperlink"/>
            <w:noProof/>
            <w:webHidden/>
            <w:lang w:val="sr-Latn-ME"/>
          </w:rPr>
          <w:fldChar w:fldCharType="end"/>
        </w:r>
      </w:hyperlink>
    </w:p>
    <w:p w14:paraId="56DAD477" w14:textId="77777777" w:rsidR="008F7952" w:rsidRPr="007546E5" w:rsidRDefault="008F7952" w:rsidP="008F7952">
      <w:pPr>
        <w:pStyle w:val="TOC2"/>
        <w:rPr>
          <w:rFonts w:eastAsiaTheme="minorEastAsia"/>
          <w:noProof/>
          <w:kern w:val="2"/>
          <w:szCs w:val="22"/>
          <w:lang w:val="sr-Latn-ME" w:eastAsia="en-GB"/>
        </w:rPr>
      </w:pPr>
      <w:hyperlink r:id="rId35" w:anchor="_Toc185257590" w:history="1">
        <w:r w:rsidRPr="007546E5">
          <w:rPr>
            <w:rStyle w:val="Hyperlink"/>
            <w:noProof/>
            <w:lang w:val="sr-Latn-ME"/>
          </w:rPr>
          <w:t>2.7.</w:t>
        </w:r>
        <w:r w:rsidRPr="007546E5">
          <w:rPr>
            <w:rStyle w:val="Hyperlink"/>
            <w:rFonts w:eastAsiaTheme="minorEastAsia"/>
            <w:noProof/>
            <w:kern w:val="2"/>
            <w:szCs w:val="22"/>
            <w:lang w:val="sr-Latn-ME" w:eastAsia="en-GB"/>
          </w:rPr>
          <w:tab/>
        </w:r>
        <w:r w:rsidRPr="007546E5">
          <w:rPr>
            <w:rStyle w:val="Hyperlink"/>
            <w:lang w:val="sr-Latn-ME"/>
          </w:rPr>
          <w:t>Indikativni vremenski okvir</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_Toc185257590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25</w:t>
        </w:r>
        <w:r w:rsidRPr="007546E5">
          <w:rPr>
            <w:rStyle w:val="Hyperlink"/>
            <w:noProof/>
            <w:webHidden/>
            <w:lang w:val="sr-Latn-ME"/>
          </w:rPr>
          <w:fldChar w:fldCharType="end"/>
        </w:r>
      </w:hyperlink>
    </w:p>
    <w:p w14:paraId="2415AEA7" w14:textId="77777777" w:rsidR="008F7952" w:rsidRPr="007546E5" w:rsidRDefault="008F7952" w:rsidP="008F7952">
      <w:pPr>
        <w:pStyle w:val="TOC2"/>
        <w:rPr>
          <w:rFonts w:eastAsiaTheme="minorEastAsia"/>
          <w:noProof/>
          <w:kern w:val="2"/>
          <w:szCs w:val="22"/>
          <w:lang w:val="sr-Latn-ME" w:eastAsia="en-GB"/>
        </w:rPr>
      </w:pPr>
      <w:hyperlink r:id="rId36" w:anchor="_Toc185257591" w:history="1">
        <w:r w:rsidRPr="007546E5">
          <w:rPr>
            <w:rStyle w:val="Hyperlink"/>
            <w:noProof/>
            <w:lang w:val="sr-Latn-ME"/>
          </w:rPr>
          <w:t>2.8.</w:t>
        </w:r>
        <w:r w:rsidRPr="007546E5">
          <w:rPr>
            <w:rStyle w:val="Hyperlink"/>
            <w:rFonts w:eastAsiaTheme="minorEastAsia"/>
            <w:noProof/>
            <w:kern w:val="2"/>
            <w:szCs w:val="22"/>
            <w:lang w:val="sr-Latn-ME" w:eastAsia="en-GB"/>
          </w:rPr>
          <w:tab/>
        </w:r>
        <w:r w:rsidRPr="007546E5">
          <w:rPr>
            <w:rStyle w:val="Hyperlink"/>
            <w:lang w:val="sr-Latn-ME"/>
          </w:rPr>
          <w:t>Sistem ranog otkrivanja i isključenja</w:t>
        </w:r>
        <w:r w:rsidRPr="007546E5">
          <w:rPr>
            <w:rStyle w:val="Hyperlink"/>
            <w:noProof/>
            <w:webHidden/>
            <w:lang w:val="sr-Latn-ME"/>
          </w:rPr>
          <w:tab/>
        </w:r>
        <w:r w:rsidRPr="007546E5">
          <w:rPr>
            <w:rStyle w:val="Hyperlink"/>
            <w:noProof/>
            <w:webHidden/>
            <w:lang w:val="sr-Latn-ME"/>
          </w:rPr>
          <w:fldChar w:fldCharType="begin"/>
        </w:r>
        <w:r w:rsidRPr="007546E5">
          <w:rPr>
            <w:rStyle w:val="Hyperlink"/>
            <w:noProof/>
            <w:webHidden/>
            <w:lang w:val="sr-Latn-ME"/>
          </w:rPr>
          <w:instrText xml:space="preserve"> PAGEREF _Toc185257591 \h </w:instrText>
        </w:r>
        <w:r w:rsidRPr="007546E5">
          <w:rPr>
            <w:rStyle w:val="Hyperlink"/>
            <w:noProof/>
            <w:webHidden/>
            <w:lang w:val="sr-Latn-ME"/>
          </w:rPr>
        </w:r>
        <w:r w:rsidRPr="007546E5">
          <w:rPr>
            <w:rStyle w:val="Hyperlink"/>
            <w:noProof/>
            <w:webHidden/>
            <w:lang w:val="sr-Latn-ME"/>
          </w:rPr>
          <w:fldChar w:fldCharType="separate"/>
        </w:r>
        <w:r w:rsidRPr="007546E5">
          <w:rPr>
            <w:rStyle w:val="Hyperlink"/>
            <w:noProof/>
            <w:webHidden/>
            <w:lang w:val="sr-Latn-ME"/>
          </w:rPr>
          <w:t>26</w:t>
        </w:r>
        <w:r w:rsidRPr="007546E5">
          <w:rPr>
            <w:rStyle w:val="Hyperlink"/>
            <w:noProof/>
            <w:webHidden/>
            <w:lang w:val="sr-Latn-ME"/>
          </w:rPr>
          <w:fldChar w:fldCharType="end"/>
        </w:r>
      </w:hyperlink>
    </w:p>
    <w:p w14:paraId="6ED9F2D7" w14:textId="77777777" w:rsidR="008F7952" w:rsidRPr="007546E5" w:rsidRDefault="008F7952" w:rsidP="008F7952">
      <w:pPr>
        <w:pStyle w:val="TOC1"/>
        <w:rPr>
          <w:rFonts w:ascii="Times New Roman" w:eastAsiaTheme="minorEastAsia" w:hAnsi="Times New Roman"/>
          <w:b w:val="0"/>
          <w:caps w:val="0"/>
          <w:noProof/>
          <w:kern w:val="2"/>
          <w:szCs w:val="22"/>
          <w:lang w:val="sr-Latn-ME" w:eastAsia="en-GB"/>
        </w:rPr>
      </w:pPr>
      <w:hyperlink r:id="rId37" w:anchor="_Toc185257592" w:history="1">
        <w:r w:rsidRPr="007546E5">
          <w:rPr>
            <w:rStyle w:val="Hyperlink"/>
            <w:rFonts w:ascii="Times New Roman" w:hAnsi="Times New Roman"/>
            <w:noProof/>
            <w:lang w:val="sr-Latn-ME"/>
          </w:rPr>
          <w:t>3.</w:t>
        </w:r>
        <w:r w:rsidRPr="007546E5">
          <w:rPr>
            <w:rStyle w:val="Hyperlink"/>
            <w:rFonts w:ascii="Times New Roman" w:eastAsiaTheme="minorEastAsia" w:hAnsi="Times New Roman"/>
            <w:b w:val="0"/>
            <w:caps w:val="0"/>
            <w:noProof/>
            <w:kern w:val="2"/>
            <w:szCs w:val="22"/>
            <w:lang w:val="sr-Latn-ME" w:eastAsia="en-GB"/>
          </w:rPr>
          <w:tab/>
        </w:r>
        <w:r w:rsidRPr="007546E5">
          <w:rPr>
            <w:rStyle w:val="Hyperlink"/>
            <w:rFonts w:ascii="Times New Roman" w:hAnsi="Times New Roman"/>
            <w:noProof/>
            <w:lang w:val="sr-Latn-ME"/>
          </w:rPr>
          <w:t>LISTA anEKSA</w:t>
        </w:r>
        <w:r w:rsidRPr="007546E5">
          <w:rPr>
            <w:rStyle w:val="Hyperlink"/>
            <w:rFonts w:ascii="Times New Roman" w:hAnsi="Times New Roman"/>
            <w:noProof/>
            <w:webHidden/>
            <w:lang w:val="sr-Latn-ME"/>
          </w:rPr>
          <w:tab/>
        </w:r>
        <w:r w:rsidRPr="007546E5">
          <w:rPr>
            <w:rStyle w:val="Hyperlink"/>
            <w:rFonts w:ascii="Times New Roman" w:hAnsi="Times New Roman"/>
            <w:noProof/>
            <w:webHidden/>
            <w:lang w:val="sr-Latn-ME"/>
          </w:rPr>
          <w:fldChar w:fldCharType="begin"/>
        </w:r>
        <w:r w:rsidRPr="007546E5">
          <w:rPr>
            <w:rStyle w:val="Hyperlink"/>
            <w:rFonts w:ascii="Times New Roman" w:hAnsi="Times New Roman"/>
            <w:noProof/>
            <w:webHidden/>
            <w:lang w:val="sr-Latn-ME"/>
          </w:rPr>
          <w:instrText xml:space="preserve"> PAGEREF _Toc185257592 \h </w:instrText>
        </w:r>
        <w:r w:rsidRPr="007546E5">
          <w:rPr>
            <w:rStyle w:val="Hyperlink"/>
            <w:rFonts w:ascii="Times New Roman" w:hAnsi="Times New Roman"/>
            <w:noProof/>
            <w:webHidden/>
            <w:lang w:val="sr-Latn-ME"/>
          </w:rPr>
        </w:r>
        <w:r w:rsidRPr="007546E5">
          <w:rPr>
            <w:rStyle w:val="Hyperlink"/>
            <w:rFonts w:ascii="Times New Roman" w:hAnsi="Times New Roman"/>
            <w:noProof/>
            <w:webHidden/>
            <w:lang w:val="sr-Latn-ME"/>
          </w:rPr>
          <w:fldChar w:fldCharType="separate"/>
        </w:r>
        <w:r w:rsidRPr="007546E5">
          <w:rPr>
            <w:rStyle w:val="Hyperlink"/>
            <w:rFonts w:ascii="Times New Roman" w:hAnsi="Times New Roman"/>
            <w:noProof/>
            <w:webHidden/>
            <w:lang w:val="sr-Latn-ME"/>
          </w:rPr>
          <w:t>26</w:t>
        </w:r>
        <w:r w:rsidRPr="007546E5">
          <w:rPr>
            <w:rStyle w:val="Hyperlink"/>
            <w:rFonts w:ascii="Times New Roman" w:hAnsi="Times New Roman"/>
            <w:noProof/>
            <w:webHidden/>
            <w:lang w:val="sr-Latn-ME"/>
          </w:rPr>
          <w:fldChar w:fldCharType="end"/>
        </w:r>
      </w:hyperlink>
    </w:p>
    <w:p w14:paraId="75712A71" w14:textId="6BB15B7E" w:rsidR="000C4D66" w:rsidRPr="007546E5" w:rsidRDefault="008F7952" w:rsidP="008F7952">
      <w:pPr>
        <w:jc w:val="both"/>
        <w:rPr>
          <w:rFonts w:ascii="Times New Roman" w:hAnsi="Times New Roman" w:cs="Times New Roman"/>
          <w:b/>
          <w:caps/>
          <w:sz w:val="28"/>
          <w:szCs w:val="28"/>
        </w:rPr>
      </w:pPr>
      <w:r w:rsidRPr="007546E5">
        <w:rPr>
          <w:rFonts w:ascii="Times New Roman" w:hAnsi="Times New Roman" w:cs="Times New Roman"/>
          <w:b/>
          <w:caps/>
          <w:sz w:val="28"/>
          <w:szCs w:val="28"/>
        </w:rPr>
        <w:fldChar w:fldCharType="end"/>
      </w:r>
    </w:p>
    <w:p w14:paraId="0E0FEBE2" w14:textId="77777777" w:rsidR="000C4D66" w:rsidRPr="007546E5" w:rsidRDefault="000C4D66">
      <w:pPr>
        <w:rPr>
          <w:rFonts w:ascii="Times New Roman" w:hAnsi="Times New Roman" w:cs="Times New Roman"/>
          <w:b/>
          <w:caps/>
          <w:sz w:val="28"/>
          <w:szCs w:val="28"/>
        </w:rPr>
      </w:pPr>
      <w:r w:rsidRPr="007546E5">
        <w:rPr>
          <w:rFonts w:ascii="Times New Roman" w:hAnsi="Times New Roman" w:cs="Times New Roman"/>
          <w:b/>
          <w:caps/>
          <w:sz w:val="28"/>
          <w:szCs w:val="28"/>
        </w:rPr>
        <w:br w:type="page"/>
      </w:r>
    </w:p>
    <w:p w14:paraId="5361CD98" w14:textId="77777777" w:rsidR="000C4D66" w:rsidRPr="007546E5" w:rsidRDefault="000C4D66" w:rsidP="000C4D66">
      <w:pPr>
        <w:pStyle w:val="Heading3"/>
        <w:rPr>
          <w:rFonts w:ascii="Times New Roman" w:hAnsi="Times New Roman" w:cs="Times New Roman"/>
          <w:color w:val="auto"/>
        </w:rPr>
      </w:pPr>
      <w:r w:rsidRPr="007546E5">
        <w:rPr>
          <w:rStyle w:val="Strong"/>
          <w:rFonts w:ascii="Times New Roman" w:hAnsi="Times New Roman" w:cs="Times New Roman"/>
          <w:bCs w:val="0"/>
          <w:color w:val="auto"/>
        </w:rPr>
        <w:lastRenderedPageBreak/>
        <w:t>1.1. KONTEKST</w:t>
      </w:r>
    </w:p>
    <w:p w14:paraId="6A191243" w14:textId="3AB7977B" w:rsidR="000C4D66" w:rsidRPr="007546E5" w:rsidRDefault="000C4D66" w:rsidP="000C4D66">
      <w:pPr>
        <w:pStyle w:val="NormalWeb"/>
        <w:jc w:val="both"/>
        <w:rPr>
          <w:sz w:val="22"/>
          <w:szCs w:val="22"/>
          <w:lang w:val="sr-Latn-ME"/>
        </w:rPr>
      </w:pPr>
      <w:r w:rsidRPr="007546E5">
        <w:rPr>
          <w:sz w:val="22"/>
          <w:szCs w:val="22"/>
          <w:lang w:val="sr-Latn-ME"/>
        </w:rPr>
        <w:t>Tematski program za ljudska prava i demokratiju (</w:t>
      </w:r>
      <w:r w:rsidR="00F632AA" w:rsidRPr="00F632AA">
        <w:rPr>
          <w:rStyle w:val="Strong"/>
          <w:b w:val="0"/>
          <w:bCs w:val="0"/>
          <w:color w:val="0A0A0A"/>
          <w:sz w:val="22"/>
          <w:szCs w:val="22"/>
          <w:shd w:val="clear" w:color="auto" w:fill="FFFFFF"/>
        </w:rPr>
        <w:t>Thematic</w:t>
      </w:r>
      <w:r w:rsidR="00F632AA" w:rsidRPr="00F632AA">
        <w:rPr>
          <w:rStyle w:val="Strong"/>
          <w:b w:val="0"/>
          <w:bCs w:val="0"/>
          <w:color w:val="0A0A0A"/>
          <w:sz w:val="22"/>
          <w:szCs w:val="22"/>
          <w:shd w:val="clear" w:color="auto" w:fill="FFFFFF"/>
          <w:lang w:val="sr-Latn-ME"/>
        </w:rPr>
        <w:t xml:space="preserve"> </w:t>
      </w:r>
      <w:r w:rsidR="00F632AA" w:rsidRPr="00F632AA">
        <w:rPr>
          <w:rStyle w:val="Strong"/>
          <w:b w:val="0"/>
          <w:bCs w:val="0"/>
          <w:color w:val="0A0A0A"/>
          <w:sz w:val="22"/>
          <w:szCs w:val="22"/>
          <w:shd w:val="clear" w:color="auto" w:fill="FFFFFF"/>
        </w:rPr>
        <w:t>Programme</w:t>
      </w:r>
      <w:r w:rsidR="00F632AA" w:rsidRPr="00F632AA">
        <w:rPr>
          <w:rStyle w:val="Strong"/>
          <w:b w:val="0"/>
          <w:bCs w:val="0"/>
          <w:color w:val="0A0A0A"/>
          <w:sz w:val="22"/>
          <w:szCs w:val="22"/>
          <w:shd w:val="clear" w:color="auto" w:fill="FFFFFF"/>
          <w:lang w:val="sr-Latn-ME"/>
        </w:rPr>
        <w:t xml:space="preserve"> </w:t>
      </w:r>
      <w:r w:rsidR="00F632AA" w:rsidRPr="00F632AA">
        <w:rPr>
          <w:rStyle w:val="Strong"/>
          <w:b w:val="0"/>
          <w:bCs w:val="0"/>
          <w:color w:val="0A0A0A"/>
          <w:sz w:val="22"/>
          <w:szCs w:val="22"/>
          <w:shd w:val="clear" w:color="auto" w:fill="FFFFFF"/>
        </w:rPr>
        <w:t>on</w:t>
      </w:r>
      <w:r w:rsidR="00F632AA" w:rsidRPr="00F632AA">
        <w:rPr>
          <w:rStyle w:val="Strong"/>
          <w:b w:val="0"/>
          <w:bCs w:val="0"/>
          <w:color w:val="0A0A0A"/>
          <w:sz w:val="22"/>
          <w:szCs w:val="22"/>
          <w:shd w:val="clear" w:color="auto" w:fill="FFFFFF"/>
          <w:lang w:val="sr-Latn-ME"/>
        </w:rPr>
        <w:t xml:space="preserve"> </w:t>
      </w:r>
      <w:r w:rsidR="00F632AA" w:rsidRPr="00F632AA">
        <w:rPr>
          <w:rStyle w:val="Strong"/>
          <w:b w:val="0"/>
          <w:bCs w:val="0"/>
          <w:color w:val="0A0A0A"/>
          <w:sz w:val="22"/>
          <w:szCs w:val="22"/>
          <w:shd w:val="clear" w:color="auto" w:fill="FFFFFF"/>
        </w:rPr>
        <w:t>Human</w:t>
      </w:r>
      <w:r w:rsidR="00F632AA" w:rsidRPr="00F632AA">
        <w:rPr>
          <w:rStyle w:val="Strong"/>
          <w:b w:val="0"/>
          <w:bCs w:val="0"/>
          <w:color w:val="0A0A0A"/>
          <w:sz w:val="22"/>
          <w:szCs w:val="22"/>
          <w:shd w:val="clear" w:color="auto" w:fill="FFFFFF"/>
          <w:lang w:val="sr-Latn-ME"/>
        </w:rPr>
        <w:t xml:space="preserve"> </w:t>
      </w:r>
      <w:r w:rsidR="00F632AA" w:rsidRPr="00F632AA">
        <w:rPr>
          <w:rStyle w:val="Strong"/>
          <w:b w:val="0"/>
          <w:bCs w:val="0"/>
          <w:color w:val="0A0A0A"/>
          <w:sz w:val="22"/>
          <w:szCs w:val="22"/>
          <w:shd w:val="clear" w:color="auto" w:fill="FFFFFF"/>
        </w:rPr>
        <w:t>Rights</w:t>
      </w:r>
      <w:r w:rsidR="00F632AA" w:rsidRPr="00F632AA">
        <w:rPr>
          <w:rStyle w:val="Strong"/>
          <w:b w:val="0"/>
          <w:bCs w:val="0"/>
          <w:color w:val="0A0A0A"/>
          <w:sz w:val="22"/>
          <w:szCs w:val="22"/>
          <w:shd w:val="clear" w:color="auto" w:fill="FFFFFF"/>
          <w:lang w:val="sr-Latn-ME"/>
        </w:rPr>
        <w:t xml:space="preserve"> </w:t>
      </w:r>
      <w:r w:rsidR="00F632AA" w:rsidRPr="00F632AA">
        <w:rPr>
          <w:rStyle w:val="Strong"/>
          <w:b w:val="0"/>
          <w:bCs w:val="0"/>
          <w:color w:val="0A0A0A"/>
          <w:sz w:val="22"/>
          <w:szCs w:val="22"/>
          <w:shd w:val="clear" w:color="auto" w:fill="FFFFFF"/>
        </w:rPr>
        <w:t>and</w:t>
      </w:r>
      <w:r w:rsidR="00F632AA" w:rsidRPr="00F632AA">
        <w:rPr>
          <w:rStyle w:val="Strong"/>
          <w:b w:val="0"/>
          <w:bCs w:val="0"/>
          <w:color w:val="0A0A0A"/>
          <w:sz w:val="22"/>
          <w:szCs w:val="22"/>
          <w:shd w:val="clear" w:color="auto" w:fill="FFFFFF"/>
          <w:lang w:val="sr-Latn-ME"/>
        </w:rPr>
        <w:t xml:space="preserve"> </w:t>
      </w:r>
      <w:r w:rsidR="00F632AA" w:rsidRPr="00F632AA">
        <w:rPr>
          <w:rStyle w:val="Strong"/>
          <w:b w:val="0"/>
          <w:bCs w:val="0"/>
          <w:color w:val="0A0A0A"/>
          <w:sz w:val="22"/>
          <w:szCs w:val="22"/>
          <w:shd w:val="clear" w:color="auto" w:fill="FFFFFF"/>
        </w:rPr>
        <w:t>Democracy</w:t>
      </w:r>
      <w:r w:rsidR="00F632AA" w:rsidRPr="00F632AA">
        <w:rPr>
          <w:b/>
          <w:bCs/>
          <w:color w:val="0A0A0A"/>
          <w:sz w:val="22"/>
          <w:szCs w:val="22"/>
          <w:shd w:val="clear" w:color="auto" w:fill="FFFFFF"/>
        </w:rPr>
        <w:t> </w:t>
      </w:r>
      <w:r w:rsidR="00F632AA">
        <w:rPr>
          <w:sz w:val="22"/>
          <w:szCs w:val="22"/>
          <w:lang w:val="sr-Latn-ME"/>
        </w:rPr>
        <w:t>-</w:t>
      </w:r>
      <w:r w:rsidR="00F632AA" w:rsidRPr="007546E5">
        <w:rPr>
          <w:sz w:val="22"/>
          <w:szCs w:val="22"/>
          <w:lang w:val="sr-Latn-ME"/>
        </w:rPr>
        <w:t xml:space="preserve"> </w:t>
      </w:r>
      <w:r w:rsidRPr="007546E5">
        <w:rPr>
          <w:sz w:val="22"/>
          <w:szCs w:val="22"/>
          <w:lang w:val="sr-Latn-ME"/>
        </w:rPr>
        <w:t>HR&amp;D) osmišljen je kako bi podržao civilno društvo da postane efikasan akter u političkim reformama i zaštiti ljudskih prava. Program podržava sprovođenje Akcionog plana EU za ljudska prava i demokratiju za period 2025–2027, koji</w:t>
      </w:r>
      <w:r w:rsidR="003F4E1E">
        <w:rPr>
          <w:sz w:val="22"/>
          <w:szCs w:val="22"/>
          <w:lang w:val="sr-Latn-ME"/>
        </w:rPr>
        <w:t xml:space="preserve">m se identifikuje </w:t>
      </w:r>
      <w:r w:rsidRPr="007546E5">
        <w:rPr>
          <w:sz w:val="22"/>
          <w:szCs w:val="22"/>
          <w:lang w:val="sr-Latn-ME"/>
        </w:rPr>
        <w:t>pet sveobuhvatnih prioriteta i ključnih aktivnosti s ciljem da Evropska unija ima snažniju ulogu u promovisanju i zaštiti ljudskih prava i demokratije kroz svoje spoljne aktivnosti: (i) zaštita i osnaživanje pojedinaca, (ii) izgradnja otpornih, inkluzivnih i demokratskih društava, (iii) unapređenje globalnog sistema za ljudska prava i demokratiju, (iv) korišćenje prilika i suočavanje sa izazovima novih tehnologija I (v) ostvarivanje rezultata kroz zajedničko djelovanje.</w:t>
      </w:r>
    </w:p>
    <w:p w14:paraId="5EDE9092" w14:textId="2748ECFC" w:rsidR="000C4D66" w:rsidRPr="007546E5" w:rsidRDefault="000C4D66" w:rsidP="000C4D66">
      <w:pPr>
        <w:pStyle w:val="NormalWeb"/>
        <w:jc w:val="both"/>
        <w:rPr>
          <w:sz w:val="22"/>
          <w:szCs w:val="22"/>
          <w:lang w:val="sr-Latn-ME"/>
        </w:rPr>
      </w:pPr>
      <w:r w:rsidRPr="007546E5">
        <w:rPr>
          <w:sz w:val="22"/>
          <w:szCs w:val="22"/>
          <w:lang w:val="sr-Latn-ME"/>
        </w:rPr>
        <w:t>Akcioni plan EU za ljudska prava i demokratiju 2020–2024</w:t>
      </w:r>
      <w:r w:rsidRPr="007546E5">
        <w:rPr>
          <w:rStyle w:val="FootnoteReference"/>
          <w:sz w:val="22"/>
          <w:szCs w:val="22"/>
          <w:lang w:val="sr-Latn-ME"/>
        </w:rPr>
        <w:footnoteReference w:id="4"/>
      </w:r>
      <w:r w:rsidRPr="007546E5">
        <w:rPr>
          <w:sz w:val="22"/>
          <w:szCs w:val="22"/>
          <w:lang w:val="sr-Latn-ME"/>
        </w:rPr>
        <w:t xml:space="preserve"> (produžen do 2027</w:t>
      </w:r>
      <w:r w:rsidRPr="007546E5">
        <w:rPr>
          <w:rStyle w:val="FootnoteReference"/>
          <w:sz w:val="22"/>
          <w:szCs w:val="22"/>
          <w:lang w:val="sr-Latn-ME"/>
        </w:rPr>
        <w:footnoteReference w:id="5"/>
      </w:r>
      <w:r w:rsidRPr="007546E5">
        <w:rPr>
          <w:sz w:val="22"/>
          <w:szCs w:val="22"/>
          <w:lang w:val="sr-Latn-ME"/>
        </w:rPr>
        <w:t>. godine, u cilju usklađivanja sa Višegodišnjim finansijskim okvirom 2021–2027), ponovo potvrđuje posvećenost Evropske unije podršci ljudskim pravima i demokratiji na globalnom nivou, te definiše prioritete i ključne aktivnosti kako bi EU imala snažniju ulogu u promovisanju i zaštiti ljudskih prava i demokratije kroz svoje spoljne aktivnosti.</w:t>
      </w:r>
    </w:p>
    <w:p w14:paraId="60C7333D" w14:textId="77777777" w:rsidR="000C4D66" w:rsidRPr="007546E5" w:rsidRDefault="000C4D66" w:rsidP="000C4D66">
      <w:pPr>
        <w:pStyle w:val="NormalWeb"/>
        <w:jc w:val="both"/>
        <w:rPr>
          <w:sz w:val="22"/>
          <w:szCs w:val="22"/>
          <w:lang w:val="sr-Latn-ME"/>
        </w:rPr>
      </w:pPr>
      <w:r w:rsidRPr="007546E5">
        <w:rPr>
          <w:sz w:val="22"/>
          <w:szCs w:val="22"/>
          <w:lang w:val="sr-Latn-ME"/>
        </w:rPr>
        <w:t>Delegacije EU sprovode aktivnosti u oblasti ljudskih prava i demokratije, vodeći računa o prilagođenosti nacionalnom kontekstu. U zemljama proširenja, uključujući Crnu Goru, program je usmjeren na ulogu organizacija civilnog društva (OCD) u podršci reformama povezanim sa političkim kriterijumima iz Kopenhagena – demokratijom, vladavinom prava i ljudskim pravima – čime se dopunjuje podrška koja se obezbjeđuje kroz druge instrumente, posebno kroz IPA III pomoć. Ovakav pristup komplementarnosti u potpunosti je u skladu sa Zaključcima Savjeta o Agendi za djelovanje u oblasti podrške demokratiji.</w:t>
      </w:r>
    </w:p>
    <w:p w14:paraId="33E8681B" w14:textId="03CBA2A8" w:rsidR="000C4D66" w:rsidRPr="007546E5" w:rsidRDefault="000C4D66" w:rsidP="000C4D66">
      <w:pPr>
        <w:pStyle w:val="NormalWeb"/>
        <w:jc w:val="both"/>
        <w:rPr>
          <w:sz w:val="22"/>
          <w:szCs w:val="22"/>
          <w:lang w:val="sr-Latn-ME"/>
        </w:rPr>
      </w:pPr>
      <w:r w:rsidRPr="007546E5">
        <w:rPr>
          <w:sz w:val="22"/>
          <w:szCs w:val="22"/>
          <w:lang w:val="sr-Latn-ME"/>
        </w:rPr>
        <w:t>Izvještaj</w:t>
      </w:r>
      <w:r w:rsidRPr="007546E5">
        <w:rPr>
          <w:rStyle w:val="FootnoteReference"/>
          <w:sz w:val="22"/>
          <w:szCs w:val="22"/>
          <w:lang w:val="sr-Latn-ME"/>
        </w:rPr>
        <w:footnoteReference w:id="6"/>
      </w:r>
      <w:r w:rsidRPr="007546E5">
        <w:rPr>
          <w:sz w:val="22"/>
          <w:szCs w:val="22"/>
          <w:lang w:val="sr-Latn-ME"/>
        </w:rPr>
        <w:t xml:space="preserve"> o Crnoj Gori za 2025. godinu naglašava da je zakonodavni i institucionalni okvir za osnovna prava u velikoj mjeri uspostavljen, te da Crna Gora nastavlja da </w:t>
      </w:r>
      <w:r w:rsidR="00E91977">
        <w:rPr>
          <w:sz w:val="22"/>
          <w:szCs w:val="22"/>
          <w:lang w:val="sr-Latn-ME"/>
        </w:rPr>
        <w:t xml:space="preserve">u velikoj mjeri </w:t>
      </w:r>
      <w:r w:rsidRPr="007546E5">
        <w:rPr>
          <w:sz w:val="22"/>
          <w:szCs w:val="22"/>
          <w:lang w:val="sr-Latn-ME"/>
        </w:rPr>
        <w:t xml:space="preserve">ispunjava svoje međunarodne obaveze u oblasti ljudskih prava. Međutim, potrebni su dodatni napori kako bi se ovaj okvir u potpunosti sproveo i kako bi se obezbijedio pristup pravdi i efikasno ostvarivanje prava u upravnim i sudskim postupcima, posebno za lica u ranjivim situacijama. Društvena polarizacija nastavila se tokom izvještajnog perioda. Najranjivije grupe u društvu (uključujući Rome i Egipćane, osobe sa invaliditetom, LGBTIQ osobe) i dalje su bile izložene diskriminaciji, govoru mržnje i zločinima iz mržnje. Izvještaj Evropske komisije protiv rasizma i netolerancije (ECRI) za 2025. godinu o Crnoj Gori preporučuje da nadležni organi među političarima i visokim državnim zvaničnicima promovišu aktivnu osudu rasističkog i anti-LGBTI govora mržnje, kao i </w:t>
      </w:r>
      <w:r w:rsidR="00E90EAE">
        <w:rPr>
          <w:sz w:val="22"/>
          <w:szCs w:val="22"/>
          <w:lang w:val="sr-Latn-ME"/>
        </w:rPr>
        <w:t xml:space="preserve">da se </w:t>
      </w:r>
      <w:r w:rsidRPr="007546E5">
        <w:rPr>
          <w:sz w:val="22"/>
          <w:szCs w:val="22"/>
          <w:lang w:val="sr-Latn-ME"/>
        </w:rPr>
        <w:t>suprotstavlja</w:t>
      </w:r>
      <w:r w:rsidR="00E90EAE">
        <w:rPr>
          <w:sz w:val="22"/>
          <w:szCs w:val="22"/>
          <w:lang w:val="sr-Latn-ME"/>
        </w:rPr>
        <w:t>ju</w:t>
      </w:r>
      <w:r w:rsidRPr="007546E5">
        <w:rPr>
          <w:sz w:val="22"/>
          <w:szCs w:val="22"/>
          <w:lang w:val="sr-Latn-ME"/>
        </w:rPr>
        <w:t xml:space="preserve"> takvom govoru, uz oslanjanje na Opštu preporuku politike ECRI br. 15 o borbi protiv govora mržnje i Preporuku Komiteta ministara Savjeta Evrope CM/Rec(2022)16 o borbi protiv govora mržnje. ECRI takođe preporučuje da nadležni organi nastave i prošire razmjene učenika srednjih škola u zemlji, sa ciljem podsticanja susreta i kontakata između učenika koji pripadaju različitim istorijskim etničkim, jezičkim ili vjerskim zajednicama.</w:t>
      </w:r>
    </w:p>
    <w:p w14:paraId="52FD5EA0" w14:textId="77777777" w:rsidR="000C4D66" w:rsidRPr="007546E5" w:rsidRDefault="000C4D66" w:rsidP="000C4D66">
      <w:pPr>
        <w:pStyle w:val="Heading3"/>
        <w:rPr>
          <w:rFonts w:ascii="Times New Roman" w:hAnsi="Times New Roman" w:cs="Times New Roman"/>
          <w:color w:val="auto"/>
        </w:rPr>
      </w:pPr>
      <w:r w:rsidRPr="007546E5">
        <w:rPr>
          <w:rStyle w:val="Strong"/>
          <w:rFonts w:ascii="Times New Roman" w:hAnsi="Times New Roman" w:cs="Times New Roman"/>
          <w:bCs w:val="0"/>
          <w:color w:val="auto"/>
        </w:rPr>
        <w:t>1.2. CILJEVI PROGRAMA I PRIORITETNA PITANJA</w:t>
      </w:r>
    </w:p>
    <w:p w14:paraId="5D23F5B1" w14:textId="5341CEDA" w:rsidR="000C4D66" w:rsidRPr="007546E5" w:rsidRDefault="000C4D66" w:rsidP="000C4D66">
      <w:pPr>
        <w:pStyle w:val="NormalWeb"/>
        <w:jc w:val="both"/>
        <w:rPr>
          <w:sz w:val="22"/>
          <w:szCs w:val="22"/>
          <w:lang w:val="sr-Latn-ME"/>
        </w:rPr>
      </w:pPr>
      <w:r w:rsidRPr="007546E5">
        <w:rPr>
          <w:b/>
          <w:sz w:val="22"/>
          <w:szCs w:val="22"/>
          <w:lang w:val="sr-Latn-ME"/>
        </w:rPr>
        <w:t>Opšti cilj</w:t>
      </w:r>
      <w:r w:rsidRPr="007546E5">
        <w:rPr>
          <w:sz w:val="22"/>
          <w:szCs w:val="22"/>
          <w:lang w:val="sr-Latn-ME"/>
        </w:rPr>
        <w:t xml:space="preserve"> ovog poziva za dostavljanje </w:t>
      </w:r>
      <w:r w:rsidR="002832D2" w:rsidRPr="007546E5">
        <w:rPr>
          <w:sz w:val="22"/>
          <w:szCs w:val="22"/>
          <w:lang w:val="sr-Latn-ME"/>
        </w:rPr>
        <w:t>prijedlog</w:t>
      </w:r>
      <w:r w:rsidRPr="007546E5">
        <w:rPr>
          <w:sz w:val="22"/>
          <w:szCs w:val="22"/>
          <w:lang w:val="sr-Latn-ME"/>
        </w:rPr>
        <w:t>a projekata je osnaživanje organizacija civilnog društva (OCD) i podrška njihovim naporima u promovisanju, unapređenju i zaštiti ljudskih prava i demokratije u Crnoj Gori.</w:t>
      </w:r>
    </w:p>
    <w:p w14:paraId="479571C6" w14:textId="640D434F" w:rsidR="000C4D66" w:rsidRPr="007546E5" w:rsidRDefault="000C4D66" w:rsidP="000C4D66">
      <w:pPr>
        <w:pStyle w:val="NormalWeb"/>
        <w:jc w:val="both"/>
        <w:rPr>
          <w:sz w:val="22"/>
          <w:szCs w:val="22"/>
          <w:lang w:val="sr-Latn-ME"/>
        </w:rPr>
      </w:pPr>
      <w:r w:rsidRPr="007546E5">
        <w:rPr>
          <w:b/>
          <w:sz w:val="22"/>
          <w:szCs w:val="22"/>
          <w:lang w:val="sr-Latn-ME"/>
        </w:rPr>
        <w:t>Specifični ciljevi</w:t>
      </w:r>
      <w:r w:rsidRPr="007546E5">
        <w:rPr>
          <w:sz w:val="22"/>
          <w:szCs w:val="22"/>
          <w:lang w:val="sr-Latn-ME"/>
        </w:rPr>
        <w:t xml:space="preserve"> ovog poziva za dostavljanje </w:t>
      </w:r>
      <w:r w:rsidR="002832D2" w:rsidRPr="007546E5">
        <w:rPr>
          <w:sz w:val="22"/>
          <w:szCs w:val="22"/>
          <w:lang w:val="sr-Latn-ME"/>
        </w:rPr>
        <w:t>prijedlog</w:t>
      </w:r>
      <w:r w:rsidRPr="007546E5">
        <w:rPr>
          <w:sz w:val="22"/>
          <w:szCs w:val="22"/>
          <w:lang w:val="sr-Latn-ME"/>
        </w:rPr>
        <w:t xml:space="preserve">a projekata su dvostruki: prvo, podrška OCD i braniocima ljudskih prava koji djeluju u oblasti prevencije i borbe protiv diskriminacije; i drugo, </w:t>
      </w:r>
      <w:r w:rsidRPr="007546E5">
        <w:rPr>
          <w:sz w:val="22"/>
          <w:szCs w:val="22"/>
          <w:lang w:val="sr-Latn-ME"/>
        </w:rPr>
        <w:lastRenderedPageBreak/>
        <w:t>podrška OCD koje djeluju u oblasti zaštite socijalnih, ekonomskih i kulturnih prava, naročito za grupe koje su posebno izložene diskriminaciji.</w:t>
      </w:r>
    </w:p>
    <w:p w14:paraId="7627478D" w14:textId="7430DE42" w:rsidR="000C4D66" w:rsidRPr="007546E5" w:rsidRDefault="000C4D66" w:rsidP="007148DA">
      <w:pPr>
        <w:pStyle w:val="NormalWeb"/>
        <w:jc w:val="both"/>
        <w:rPr>
          <w:rStyle w:val="Strong"/>
          <w:b w:val="0"/>
          <w:bCs w:val="0"/>
          <w:sz w:val="22"/>
          <w:szCs w:val="22"/>
          <w:lang w:val="sr-Latn-ME"/>
        </w:rPr>
      </w:pPr>
      <w:r w:rsidRPr="007546E5">
        <w:rPr>
          <w:b/>
          <w:sz w:val="22"/>
          <w:szCs w:val="22"/>
          <w:lang w:val="sr-Latn-ME"/>
        </w:rPr>
        <w:t xml:space="preserve">Prioriteti </w:t>
      </w:r>
      <w:r w:rsidRPr="007546E5">
        <w:rPr>
          <w:sz w:val="22"/>
          <w:szCs w:val="22"/>
          <w:lang w:val="sr-Latn-ME"/>
        </w:rPr>
        <w:t xml:space="preserve">ovog poziva za dostavljanje </w:t>
      </w:r>
      <w:r w:rsidR="002832D2" w:rsidRPr="007546E5">
        <w:rPr>
          <w:sz w:val="22"/>
          <w:szCs w:val="22"/>
          <w:lang w:val="sr-Latn-ME"/>
        </w:rPr>
        <w:t>prijedlog</w:t>
      </w:r>
      <w:r w:rsidRPr="007546E5">
        <w:rPr>
          <w:sz w:val="22"/>
          <w:szCs w:val="22"/>
          <w:lang w:val="sr-Latn-ME"/>
        </w:rPr>
        <w:t>a projekata su: promocija pozitivnih narativa, različitosti i multikulturalizma; kao i smanjenje etničke distance i unapređenje zapošljavanja i socijalne inkluzije, posebno ranjivih grupa.</w:t>
      </w:r>
    </w:p>
    <w:p w14:paraId="0CD5CE52" w14:textId="3D36FE79" w:rsidR="000C4D66" w:rsidRPr="007546E5" w:rsidRDefault="007148DA" w:rsidP="000C4D66">
      <w:pPr>
        <w:pStyle w:val="Heading3"/>
        <w:jc w:val="both"/>
        <w:rPr>
          <w:rFonts w:ascii="Times New Roman" w:hAnsi="Times New Roman" w:cs="Times New Roman"/>
          <w:color w:val="auto"/>
        </w:rPr>
      </w:pPr>
      <w:r w:rsidRPr="007546E5">
        <w:rPr>
          <w:rStyle w:val="Strong"/>
          <w:rFonts w:ascii="Times New Roman" w:hAnsi="Times New Roman" w:cs="Times New Roman"/>
          <w:bCs w:val="0"/>
          <w:color w:val="auto"/>
        </w:rPr>
        <w:t>1.3 FINANSIJSKA SREDSTVA KOJA OBEZBJEĐUJE UGOVORNO TIJELO</w:t>
      </w:r>
    </w:p>
    <w:p w14:paraId="0158DD02" w14:textId="460874E9" w:rsidR="000C4D66" w:rsidRPr="007546E5" w:rsidRDefault="000C4D66" w:rsidP="000C4D66">
      <w:pPr>
        <w:pStyle w:val="NormalWeb"/>
        <w:jc w:val="both"/>
        <w:rPr>
          <w:sz w:val="22"/>
          <w:szCs w:val="22"/>
          <w:lang w:val="sr-Latn-ME"/>
        </w:rPr>
      </w:pPr>
      <w:r w:rsidRPr="007546E5">
        <w:rPr>
          <w:sz w:val="22"/>
          <w:szCs w:val="22"/>
          <w:lang w:val="sr-Latn-ME"/>
        </w:rPr>
        <w:t xml:space="preserve">Ukupan indikativni iznos sredstava opredijeljenih za ovaj poziv za dostavljanje </w:t>
      </w:r>
      <w:r w:rsidR="002832D2" w:rsidRPr="007546E5">
        <w:rPr>
          <w:sz w:val="22"/>
          <w:szCs w:val="22"/>
          <w:lang w:val="sr-Latn-ME"/>
        </w:rPr>
        <w:t>prijedlog</w:t>
      </w:r>
      <w:r w:rsidRPr="007546E5">
        <w:rPr>
          <w:sz w:val="22"/>
          <w:szCs w:val="22"/>
          <w:lang w:val="sr-Latn-ME"/>
        </w:rPr>
        <w:t xml:space="preserve">a projekata iznosi </w:t>
      </w:r>
      <w:r w:rsidRPr="007546E5">
        <w:rPr>
          <w:b/>
          <w:sz w:val="22"/>
          <w:szCs w:val="22"/>
          <w:lang w:val="sr-Latn-ME"/>
        </w:rPr>
        <w:t>1.000.000,00 EUR</w:t>
      </w:r>
      <w:r w:rsidRPr="007546E5">
        <w:rPr>
          <w:sz w:val="22"/>
          <w:szCs w:val="22"/>
          <w:lang w:val="sr-Latn-ME"/>
        </w:rPr>
        <w:t>. Ugovorno tijelo zadržava pravo da ne dodijeli sva raspoloživa sredstva.</w:t>
      </w:r>
    </w:p>
    <w:p w14:paraId="3556DFAC" w14:textId="77777777" w:rsidR="000C4D66" w:rsidRPr="007546E5" w:rsidRDefault="000C4D66" w:rsidP="000C4D66">
      <w:pPr>
        <w:pStyle w:val="NormalWeb"/>
        <w:jc w:val="both"/>
        <w:rPr>
          <w:b/>
          <w:sz w:val="22"/>
          <w:szCs w:val="22"/>
          <w:lang w:val="sr-Latn-ME"/>
        </w:rPr>
      </w:pPr>
      <w:r w:rsidRPr="007546E5">
        <w:rPr>
          <w:rStyle w:val="Strong"/>
          <w:b w:val="0"/>
          <w:sz w:val="22"/>
          <w:szCs w:val="22"/>
          <w:lang w:val="sr-Latn-ME"/>
        </w:rPr>
        <w:t>Indikativna raspodjela sredstava po lotovima/geografskoj distribuciji:</w:t>
      </w:r>
    </w:p>
    <w:p w14:paraId="60CFAC63" w14:textId="7E7A9323" w:rsidR="000C4D66" w:rsidRPr="007546E5" w:rsidRDefault="000C4D66" w:rsidP="000C4D66">
      <w:pPr>
        <w:pStyle w:val="NormalWeb"/>
        <w:jc w:val="both"/>
        <w:rPr>
          <w:sz w:val="22"/>
          <w:szCs w:val="22"/>
          <w:lang w:val="sr-Latn-ME"/>
        </w:rPr>
      </w:pPr>
      <w:r w:rsidRPr="007546E5">
        <w:rPr>
          <w:rStyle w:val="Strong"/>
          <w:sz w:val="22"/>
          <w:szCs w:val="22"/>
          <w:lang w:val="sr-Latn-ME"/>
        </w:rPr>
        <w:t>Lot 1:</w:t>
      </w:r>
      <w:r w:rsidRPr="007546E5">
        <w:rPr>
          <w:sz w:val="22"/>
          <w:szCs w:val="22"/>
          <w:lang w:val="sr-Latn-ME"/>
        </w:rPr>
        <w:t xml:space="preserve"> </w:t>
      </w:r>
      <w:r w:rsidRPr="007546E5">
        <w:rPr>
          <w:b/>
          <w:sz w:val="22"/>
          <w:szCs w:val="22"/>
          <w:lang w:val="sr-Latn-ME"/>
        </w:rPr>
        <w:t>Prevencija i borba protiv diskriminacije i govora mržnje: 400.000 EUR</w:t>
      </w:r>
      <w:r w:rsidRPr="007546E5">
        <w:rPr>
          <w:b/>
          <w:sz w:val="22"/>
          <w:szCs w:val="22"/>
          <w:lang w:val="sr-Latn-ME"/>
        </w:rPr>
        <w:tab/>
      </w:r>
      <w:r w:rsidRPr="007546E5">
        <w:rPr>
          <w:sz w:val="22"/>
          <w:szCs w:val="22"/>
          <w:lang w:val="sr-Latn-ME"/>
        </w:rPr>
        <w:br/>
      </w:r>
      <w:r w:rsidRPr="007546E5">
        <w:rPr>
          <w:rStyle w:val="Strong"/>
          <w:sz w:val="22"/>
          <w:szCs w:val="22"/>
          <w:lang w:val="sr-Latn-ME"/>
        </w:rPr>
        <w:t>Lot 2:</w:t>
      </w:r>
      <w:r w:rsidRPr="007546E5">
        <w:rPr>
          <w:sz w:val="22"/>
          <w:szCs w:val="22"/>
          <w:lang w:val="sr-Latn-ME"/>
        </w:rPr>
        <w:t xml:space="preserve"> </w:t>
      </w:r>
      <w:r w:rsidRPr="007546E5">
        <w:rPr>
          <w:b/>
          <w:sz w:val="22"/>
          <w:szCs w:val="22"/>
          <w:lang w:val="sr-Latn-ME"/>
        </w:rPr>
        <w:t>Zaštita i unapređenje socijalnih, ekonomskih i kulturnih prava ranjivih grupa: 600.000 EUR</w:t>
      </w:r>
    </w:p>
    <w:p w14:paraId="3DA51CD0" w14:textId="57B65BC8" w:rsidR="000C4D66" w:rsidRPr="007546E5" w:rsidRDefault="000C4D66" w:rsidP="000C4D66">
      <w:pPr>
        <w:pStyle w:val="NormalWeb"/>
        <w:jc w:val="both"/>
        <w:rPr>
          <w:sz w:val="22"/>
          <w:szCs w:val="22"/>
          <w:lang w:val="sr-Latn-ME"/>
        </w:rPr>
      </w:pPr>
      <w:r w:rsidRPr="007546E5">
        <w:rPr>
          <w:sz w:val="22"/>
          <w:szCs w:val="22"/>
          <w:lang w:val="sr-Latn-ME"/>
        </w:rPr>
        <w:t xml:space="preserve">Ukoliko sredstva predviđena za određeni lot ne budu iskorišćena zbog nedovoljnog kvaliteta ili broja pristiglih </w:t>
      </w:r>
      <w:r w:rsidR="002832D2" w:rsidRPr="007546E5">
        <w:rPr>
          <w:sz w:val="22"/>
          <w:szCs w:val="22"/>
          <w:lang w:val="sr-Latn-ME"/>
        </w:rPr>
        <w:t>prijedlog</w:t>
      </w:r>
      <w:r w:rsidRPr="007546E5">
        <w:rPr>
          <w:sz w:val="22"/>
          <w:szCs w:val="22"/>
          <w:lang w:val="sr-Latn-ME"/>
        </w:rPr>
        <w:t>a, ugovorno tijelo zadržava pravo da preusmjeri preostala sredstva na drugi(e) lot(ove).</w:t>
      </w:r>
    </w:p>
    <w:p w14:paraId="024F2CC3" w14:textId="77777777" w:rsidR="000C4D66" w:rsidRPr="007546E5" w:rsidRDefault="000C4D66" w:rsidP="000C4D66">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Veličina grantova</w:t>
      </w:r>
    </w:p>
    <w:p w14:paraId="3274D61C" w14:textId="67FB3A90" w:rsidR="000C4D66" w:rsidRPr="007546E5" w:rsidRDefault="000C4D66" w:rsidP="000C4D66">
      <w:pPr>
        <w:pStyle w:val="NormalWeb"/>
        <w:jc w:val="both"/>
        <w:rPr>
          <w:sz w:val="22"/>
          <w:szCs w:val="22"/>
          <w:lang w:val="sr-Latn-ME"/>
        </w:rPr>
      </w:pPr>
      <w:r w:rsidRPr="007546E5">
        <w:rPr>
          <w:sz w:val="22"/>
          <w:szCs w:val="22"/>
          <w:lang w:val="sr-Latn-ME"/>
        </w:rPr>
        <w:t xml:space="preserve">Svaki grant koji se traži u okviru ovog poziva za dostavljanje </w:t>
      </w:r>
      <w:r w:rsidR="002832D2" w:rsidRPr="007546E5">
        <w:rPr>
          <w:sz w:val="22"/>
          <w:szCs w:val="22"/>
          <w:lang w:val="sr-Latn-ME"/>
        </w:rPr>
        <w:t>prijedlog</w:t>
      </w:r>
      <w:r w:rsidRPr="007546E5">
        <w:rPr>
          <w:sz w:val="22"/>
          <w:szCs w:val="22"/>
          <w:lang w:val="sr-Latn-ME"/>
        </w:rPr>
        <w:t xml:space="preserve">a projekata mora biti u </w:t>
      </w:r>
      <w:r w:rsidR="00754121">
        <w:rPr>
          <w:sz w:val="22"/>
          <w:szCs w:val="22"/>
          <w:lang w:val="sr-Latn-ME"/>
        </w:rPr>
        <w:t xml:space="preserve">rasponu </w:t>
      </w:r>
      <w:r w:rsidRPr="007546E5">
        <w:rPr>
          <w:sz w:val="22"/>
          <w:szCs w:val="22"/>
          <w:lang w:val="sr-Latn-ME"/>
        </w:rPr>
        <w:t>sljedećih minimalnih i maksimalnih iznosa:</w:t>
      </w:r>
    </w:p>
    <w:p w14:paraId="4746BC87" w14:textId="77777777" w:rsidR="000C4D66" w:rsidRPr="007546E5" w:rsidRDefault="000C4D66" w:rsidP="000C4D66">
      <w:pPr>
        <w:pStyle w:val="NormalWeb"/>
        <w:jc w:val="both"/>
        <w:rPr>
          <w:sz w:val="22"/>
          <w:szCs w:val="22"/>
          <w:lang w:val="sr-Latn-ME"/>
        </w:rPr>
      </w:pPr>
      <w:r w:rsidRPr="007546E5">
        <w:rPr>
          <w:rStyle w:val="Strong"/>
          <w:sz w:val="22"/>
          <w:szCs w:val="22"/>
          <w:lang w:val="sr-Latn-ME"/>
        </w:rPr>
        <w:t>Lot 1:</w:t>
      </w:r>
    </w:p>
    <w:p w14:paraId="7FBB550A" w14:textId="77777777" w:rsidR="000C4D66" w:rsidRPr="007546E5" w:rsidRDefault="000C4D66" w:rsidP="000C4D66">
      <w:pPr>
        <w:numPr>
          <w:ilvl w:val="0"/>
          <w:numId w:val="1"/>
        </w:numPr>
        <w:spacing w:before="100" w:beforeAutospacing="1" w:after="100" w:afterAutospacing="1" w:line="240" w:lineRule="auto"/>
        <w:jc w:val="both"/>
        <w:rPr>
          <w:rFonts w:ascii="Times New Roman" w:hAnsi="Times New Roman" w:cs="Times New Roman"/>
          <w:b/>
        </w:rPr>
      </w:pPr>
      <w:r w:rsidRPr="007546E5">
        <w:rPr>
          <w:rFonts w:ascii="Times New Roman" w:hAnsi="Times New Roman" w:cs="Times New Roman"/>
          <w:b/>
        </w:rPr>
        <w:t xml:space="preserve">minimalni iznos: 380.000 EUR </w:t>
      </w:r>
    </w:p>
    <w:p w14:paraId="50BA6435" w14:textId="77777777" w:rsidR="000C4D66" w:rsidRPr="007546E5" w:rsidRDefault="000C4D66" w:rsidP="000C4D66">
      <w:pPr>
        <w:numPr>
          <w:ilvl w:val="0"/>
          <w:numId w:val="1"/>
        </w:numPr>
        <w:spacing w:before="100" w:beforeAutospacing="1" w:after="100" w:afterAutospacing="1" w:line="240" w:lineRule="auto"/>
        <w:jc w:val="both"/>
        <w:rPr>
          <w:rFonts w:ascii="Times New Roman" w:hAnsi="Times New Roman" w:cs="Times New Roman"/>
          <w:b/>
        </w:rPr>
      </w:pPr>
      <w:r w:rsidRPr="007546E5">
        <w:rPr>
          <w:rFonts w:ascii="Times New Roman" w:hAnsi="Times New Roman" w:cs="Times New Roman"/>
          <w:b/>
        </w:rPr>
        <w:t xml:space="preserve">maksimalni iznos: 400.000 EUR </w:t>
      </w:r>
    </w:p>
    <w:p w14:paraId="19A31D99" w14:textId="77777777" w:rsidR="000C4D66" w:rsidRPr="007546E5" w:rsidRDefault="000C4D66" w:rsidP="000C4D66">
      <w:pPr>
        <w:pStyle w:val="NormalWeb"/>
        <w:jc w:val="both"/>
        <w:rPr>
          <w:b/>
          <w:sz w:val="22"/>
          <w:szCs w:val="22"/>
          <w:lang w:val="sr-Latn-ME"/>
        </w:rPr>
      </w:pPr>
      <w:r w:rsidRPr="007546E5">
        <w:rPr>
          <w:rStyle w:val="Strong"/>
          <w:sz w:val="22"/>
          <w:szCs w:val="22"/>
          <w:lang w:val="sr-Latn-ME"/>
        </w:rPr>
        <w:t>Lot 2:</w:t>
      </w:r>
    </w:p>
    <w:p w14:paraId="21B32FFB" w14:textId="77777777" w:rsidR="000C4D66" w:rsidRPr="007546E5" w:rsidRDefault="000C4D66" w:rsidP="000C4D66">
      <w:pPr>
        <w:numPr>
          <w:ilvl w:val="0"/>
          <w:numId w:val="2"/>
        </w:numPr>
        <w:spacing w:before="100" w:beforeAutospacing="1" w:after="100" w:afterAutospacing="1" w:line="240" w:lineRule="auto"/>
        <w:jc w:val="both"/>
        <w:rPr>
          <w:rFonts w:ascii="Times New Roman" w:hAnsi="Times New Roman" w:cs="Times New Roman"/>
          <w:b/>
        </w:rPr>
      </w:pPr>
      <w:r w:rsidRPr="007546E5">
        <w:rPr>
          <w:rFonts w:ascii="Times New Roman" w:hAnsi="Times New Roman" w:cs="Times New Roman"/>
          <w:b/>
        </w:rPr>
        <w:t xml:space="preserve">minimalni iznos: 550.000 EUR </w:t>
      </w:r>
    </w:p>
    <w:p w14:paraId="45795303" w14:textId="3C96168D" w:rsidR="000C4D66" w:rsidRPr="007546E5" w:rsidRDefault="000C4D66" w:rsidP="000C4D66">
      <w:pPr>
        <w:numPr>
          <w:ilvl w:val="0"/>
          <w:numId w:val="2"/>
        </w:numPr>
        <w:spacing w:before="100" w:beforeAutospacing="1" w:after="100" w:afterAutospacing="1" w:line="240" w:lineRule="auto"/>
        <w:jc w:val="both"/>
        <w:rPr>
          <w:rFonts w:ascii="Times New Roman" w:hAnsi="Times New Roman" w:cs="Times New Roman"/>
          <w:b/>
        </w:rPr>
      </w:pPr>
      <w:r w:rsidRPr="007546E5">
        <w:rPr>
          <w:rFonts w:ascii="Times New Roman" w:hAnsi="Times New Roman" w:cs="Times New Roman"/>
          <w:b/>
        </w:rPr>
        <w:t xml:space="preserve">maksimalni iznos: 600.000 EUR </w:t>
      </w:r>
    </w:p>
    <w:p w14:paraId="5A7285E9" w14:textId="1F39F0C4" w:rsidR="000C4D66" w:rsidRPr="007546E5" w:rsidRDefault="000C4D66" w:rsidP="000C4D66">
      <w:pPr>
        <w:pStyle w:val="NormalWeb"/>
        <w:jc w:val="both"/>
        <w:rPr>
          <w:sz w:val="22"/>
          <w:szCs w:val="22"/>
          <w:lang w:val="sr-Latn-ME"/>
        </w:rPr>
      </w:pPr>
      <w:r w:rsidRPr="007546E5">
        <w:rPr>
          <w:sz w:val="22"/>
          <w:szCs w:val="22"/>
          <w:lang w:val="sr-Latn-ME"/>
        </w:rPr>
        <w:t xml:space="preserve">Svaki grant koji se traži u okviru ovog poziva za dostavljanje </w:t>
      </w:r>
      <w:r w:rsidR="002832D2" w:rsidRPr="007546E5">
        <w:rPr>
          <w:sz w:val="22"/>
          <w:szCs w:val="22"/>
          <w:lang w:val="sr-Latn-ME"/>
        </w:rPr>
        <w:t>prijedlog</w:t>
      </w:r>
      <w:r w:rsidRPr="007546E5">
        <w:rPr>
          <w:sz w:val="22"/>
          <w:szCs w:val="22"/>
          <w:lang w:val="sr-Latn-ME"/>
        </w:rPr>
        <w:t xml:space="preserve">a projekata mora biti u </w:t>
      </w:r>
      <w:r w:rsidR="00C337E7">
        <w:rPr>
          <w:sz w:val="22"/>
          <w:szCs w:val="22"/>
          <w:lang w:val="sr-Latn-ME"/>
        </w:rPr>
        <w:t>rasponu</w:t>
      </w:r>
      <w:r w:rsidRPr="007546E5">
        <w:rPr>
          <w:sz w:val="22"/>
          <w:szCs w:val="22"/>
          <w:lang w:val="sr-Latn-ME"/>
        </w:rPr>
        <w:t xml:space="preserve"> sljedećih minimalnih i maksimalnih procenata ukupnih prihvatljivih troškova akcije:</w:t>
      </w:r>
    </w:p>
    <w:p w14:paraId="76882417" w14:textId="77777777" w:rsidR="000C4D66" w:rsidRPr="007546E5" w:rsidRDefault="000C4D66" w:rsidP="000C4D66">
      <w:pPr>
        <w:numPr>
          <w:ilvl w:val="0"/>
          <w:numId w:val="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minimalni procenat: 60 % ukupnih prihvatljivih troškova akcije (vidjeti odjeljak 2.1.4) </w:t>
      </w:r>
    </w:p>
    <w:p w14:paraId="5FDD8E80" w14:textId="77777777" w:rsidR="000C4D66" w:rsidRPr="007546E5" w:rsidRDefault="000C4D66" w:rsidP="000C4D66">
      <w:pPr>
        <w:numPr>
          <w:ilvl w:val="0"/>
          <w:numId w:val="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maksimalni procenat: 95 % ukupnih prihvatljivih troškova akcije (vidjeti odjeljak 2.1.4) </w:t>
      </w:r>
    </w:p>
    <w:p w14:paraId="51B09FFD" w14:textId="1AD5B79B" w:rsidR="000C4D66" w:rsidRPr="007546E5" w:rsidRDefault="000C4D66" w:rsidP="000C4D66">
      <w:pPr>
        <w:pStyle w:val="NormalWeb"/>
        <w:jc w:val="both"/>
        <w:rPr>
          <w:sz w:val="22"/>
          <w:szCs w:val="22"/>
          <w:lang w:val="sr-Latn-ME"/>
        </w:rPr>
      </w:pPr>
      <w:r w:rsidRPr="007546E5">
        <w:rPr>
          <w:sz w:val="22"/>
          <w:szCs w:val="22"/>
          <w:lang w:val="sr-Latn-ME"/>
        </w:rPr>
        <w:t>Preostali iznos (tj. razlika između ukupnih troškova akcije i iznosa koji se traži od ugovornog tijela) mora biti finansiran iz izvora koji n</w:t>
      </w:r>
      <w:r w:rsidR="00BD00B8">
        <w:rPr>
          <w:sz w:val="22"/>
          <w:szCs w:val="22"/>
          <w:lang w:val="sr-Latn-ME"/>
        </w:rPr>
        <w:t>e pripadaju</w:t>
      </w:r>
      <w:r w:rsidRPr="007546E5">
        <w:rPr>
          <w:sz w:val="22"/>
          <w:szCs w:val="22"/>
          <w:lang w:val="sr-Latn-ME"/>
        </w:rPr>
        <w:t xml:space="preserve"> opšt</w:t>
      </w:r>
      <w:r w:rsidR="00BD00B8">
        <w:rPr>
          <w:sz w:val="22"/>
          <w:szCs w:val="22"/>
          <w:lang w:val="sr-Latn-ME"/>
        </w:rPr>
        <w:t>em</w:t>
      </w:r>
      <w:r w:rsidRPr="007546E5">
        <w:rPr>
          <w:sz w:val="22"/>
          <w:szCs w:val="22"/>
          <w:lang w:val="sr-Latn-ME"/>
        </w:rPr>
        <w:t xml:space="preserve"> budžet</w:t>
      </w:r>
      <w:r w:rsidR="00BD00B8">
        <w:rPr>
          <w:sz w:val="22"/>
          <w:szCs w:val="22"/>
          <w:lang w:val="sr-Latn-ME"/>
        </w:rPr>
        <w:t>u</w:t>
      </w:r>
      <w:r w:rsidRPr="007546E5">
        <w:rPr>
          <w:sz w:val="22"/>
          <w:szCs w:val="22"/>
          <w:lang w:val="sr-Latn-ME"/>
        </w:rPr>
        <w:t xml:space="preserve"> Evropske unije ili Evropsk</w:t>
      </w:r>
      <w:r w:rsidR="00BD00B8">
        <w:rPr>
          <w:sz w:val="22"/>
          <w:szCs w:val="22"/>
          <w:lang w:val="sr-Latn-ME"/>
        </w:rPr>
        <w:t>og</w:t>
      </w:r>
      <w:r w:rsidRPr="007546E5">
        <w:rPr>
          <w:sz w:val="22"/>
          <w:szCs w:val="22"/>
          <w:lang w:val="sr-Latn-ME"/>
        </w:rPr>
        <w:t xml:space="preserve"> razvojn</w:t>
      </w:r>
      <w:r w:rsidR="00BD00B8">
        <w:rPr>
          <w:sz w:val="22"/>
          <w:szCs w:val="22"/>
          <w:lang w:val="sr-Latn-ME"/>
        </w:rPr>
        <w:t>og</w:t>
      </w:r>
      <w:r w:rsidRPr="007546E5">
        <w:rPr>
          <w:sz w:val="22"/>
          <w:szCs w:val="22"/>
          <w:lang w:val="sr-Latn-ME"/>
        </w:rPr>
        <w:t xml:space="preserve"> fond</w:t>
      </w:r>
      <w:r w:rsidR="00BD00B8">
        <w:rPr>
          <w:sz w:val="22"/>
          <w:szCs w:val="22"/>
          <w:lang w:val="sr-Latn-ME"/>
        </w:rPr>
        <w:t>a</w:t>
      </w:r>
      <w:r w:rsidR="00A92195" w:rsidRPr="007546E5">
        <w:rPr>
          <w:rStyle w:val="FootnoteReference"/>
          <w:sz w:val="22"/>
          <w:szCs w:val="22"/>
          <w:lang w:val="sr-Latn-ME"/>
        </w:rPr>
        <w:footnoteReference w:id="7"/>
      </w:r>
      <w:r w:rsidRPr="007546E5">
        <w:rPr>
          <w:sz w:val="22"/>
          <w:szCs w:val="22"/>
          <w:lang w:val="sr-Latn-ME"/>
        </w:rPr>
        <w:t>.</w:t>
      </w:r>
    </w:p>
    <w:p w14:paraId="7FF67E6E" w14:textId="77777777" w:rsidR="000C4D66" w:rsidRPr="007546E5" w:rsidRDefault="000C4D66" w:rsidP="000C4D66">
      <w:pPr>
        <w:pStyle w:val="NormalWeb"/>
        <w:jc w:val="both"/>
        <w:rPr>
          <w:sz w:val="22"/>
          <w:szCs w:val="22"/>
          <w:lang w:val="sr-Latn-ME"/>
        </w:rPr>
      </w:pPr>
      <w:r w:rsidRPr="007546E5">
        <w:rPr>
          <w:sz w:val="22"/>
          <w:szCs w:val="22"/>
          <w:lang w:val="sr-Latn-ME"/>
        </w:rPr>
        <w:t xml:space="preserve">Grant može pokriti ukupne prihvatljive troškove akcije ukoliko se to smatra neophodnim za njenu realizaciju. U tom slučaju, vodeći podnosilac prijave mora obrazložiti potpuno finansiranje u odjeljku </w:t>
      </w:r>
      <w:r w:rsidRPr="007546E5">
        <w:rPr>
          <w:sz w:val="22"/>
          <w:szCs w:val="22"/>
          <w:lang w:val="sr-Latn-ME"/>
        </w:rPr>
        <w:lastRenderedPageBreak/>
        <w:t>2.1 Aneksa A.2. Opravdanost dostavljenog obrazloženja biće ocijenjena tokom postupka evaluacije. Izostanak obrazloženja može dovesti do odbijanja prijave.</w:t>
      </w:r>
    </w:p>
    <w:p w14:paraId="08A86F8E" w14:textId="508E233F" w:rsidR="000C4D66" w:rsidRPr="007546E5" w:rsidRDefault="000C4D66" w:rsidP="000C4D66">
      <w:pPr>
        <w:pStyle w:val="Heading2"/>
        <w:jc w:val="both"/>
        <w:rPr>
          <w:sz w:val="24"/>
          <w:szCs w:val="24"/>
          <w:lang w:val="sr-Latn-ME"/>
        </w:rPr>
      </w:pPr>
      <w:r w:rsidRPr="007546E5">
        <w:rPr>
          <w:rStyle w:val="Strong"/>
          <w:b/>
          <w:bCs/>
          <w:sz w:val="24"/>
          <w:szCs w:val="24"/>
          <w:lang w:val="sr-Latn-ME"/>
        </w:rPr>
        <w:t xml:space="preserve">2. PRAVILA ZA OVAJ POZIV ZA DOSTAVLJANJE </w:t>
      </w:r>
      <w:r w:rsidR="002832D2" w:rsidRPr="007546E5">
        <w:rPr>
          <w:rStyle w:val="Strong"/>
          <w:b/>
          <w:bCs/>
          <w:sz w:val="24"/>
          <w:szCs w:val="24"/>
          <w:lang w:val="sr-Latn-ME"/>
        </w:rPr>
        <w:t>PRIJEDLOG</w:t>
      </w:r>
      <w:r w:rsidRPr="007546E5">
        <w:rPr>
          <w:rStyle w:val="Strong"/>
          <w:b/>
          <w:bCs/>
          <w:sz w:val="24"/>
          <w:szCs w:val="24"/>
          <w:lang w:val="sr-Latn-ME"/>
        </w:rPr>
        <w:t>A PROJEKATA</w:t>
      </w:r>
    </w:p>
    <w:p w14:paraId="77D8D91F" w14:textId="4C3701BB" w:rsidR="000C4D66" w:rsidRPr="007546E5" w:rsidRDefault="00023EBC" w:rsidP="000C4D66">
      <w:pPr>
        <w:pStyle w:val="NormalWeb"/>
        <w:jc w:val="both"/>
        <w:rPr>
          <w:sz w:val="22"/>
          <w:szCs w:val="22"/>
          <w:lang w:val="sr-Latn-ME"/>
        </w:rPr>
      </w:pPr>
      <w:r>
        <w:rPr>
          <w:sz w:val="22"/>
          <w:szCs w:val="22"/>
          <w:lang w:val="sr-Latn-ME"/>
        </w:rPr>
        <w:t>Dat</w:t>
      </w:r>
      <w:r w:rsidR="000C4D66" w:rsidRPr="007546E5">
        <w:rPr>
          <w:sz w:val="22"/>
          <w:szCs w:val="22"/>
          <w:lang w:val="sr-Latn-ME"/>
        </w:rPr>
        <w:t xml:space="preserve">e smjernice utvrđuju pravila za podnošenje, odabir i sprovođenje akcija finansiranih u okviru ovog poziva, u skladu sa Praktičnim vodičem (PRAG), koji se primjenjuje na ovaj poziv (dostupan na internet adresi: </w:t>
      </w:r>
      <w:hyperlink r:id="rId38" w:tgtFrame="_new" w:history="1">
        <w:r w:rsidR="000C4D66" w:rsidRPr="007546E5">
          <w:rPr>
            <w:rStyle w:val="Hyperlink"/>
            <w:color w:val="auto"/>
            <w:sz w:val="22"/>
            <w:szCs w:val="22"/>
            <w:lang w:val="sr-Latn-ME"/>
          </w:rPr>
          <w:t>https://wikis.ec.europa.eu/display/ExactExternalWiki/ePRAG</w:t>
        </w:r>
      </w:hyperlink>
      <w:r w:rsidR="000C4D66" w:rsidRPr="00023EBC">
        <w:rPr>
          <w:sz w:val="22"/>
          <w:szCs w:val="22"/>
          <w:lang w:val="sr-Latn-ME"/>
        </w:rPr>
        <w:t>)</w:t>
      </w:r>
      <w:r w:rsidR="00A92195" w:rsidRPr="00023EBC">
        <w:rPr>
          <w:rStyle w:val="FootnoteReference"/>
          <w:sz w:val="22"/>
          <w:szCs w:val="22"/>
          <w:lang w:val="sr-Latn-ME"/>
        </w:rPr>
        <w:footnoteReference w:id="8"/>
      </w:r>
      <w:r w:rsidR="000C4D66" w:rsidRPr="00023EBC">
        <w:rPr>
          <w:sz w:val="22"/>
          <w:szCs w:val="22"/>
          <w:lang w:val="sr-Latn-ME"/>
        </w:rPr>
        <w:t>.</w:t>
      </w:r>
    </w:p>
    <w:p w14:paraId="550E6D47" w14:textId="77777777" w:rsidR="000C4D66" w:rsidRPr="007546E5" w:rsidRDefault="000C4D66" w:rsidP="000C4D66">
      <w:pPr>
        <w:pStyle w:val="Heading3"/>
        <w:jc w:val="both"/>
        <w:rPr>
          <w:rFonts w:ascii="Times New Roman" w:hAnsi="Times New Roman" w:cs="Times New Roman"/>
          <w:color w:val="auto"/>
        </w:rPr>
      </w:pPr>
      <w:r w:rsidRPr="007546E5">
        <w:rPr>
          <w:rStyle w:val="Strong"/>
          <w:rFonts w:ascii="Times New Roman" w:hAnsi="Times New Roman" w:cs="Times New Roman"/>
          <w:bCs w:val="0"/>
          <w:color w:val="auto"/>
        </w:rPr>
        <w:t>2.1. KRITERIJUMI PRIHVATLJIVOSTI</w:t>
      </w:r>
    </w:p>
    <w:p w14:paraId="25830FBE" w14:textId="77777777" w:rsidR="000C4D66" w:rsidRPr="007546E5" w:rsidRDefault="000C4D66" w:rsidP="000C4D66">
      <w:pPr>
        <w:pStyle w:val="NormalWeb"/>
        <w:jc w:val="both"/>
        <w:rPr>
          <w:sz w:val="22"/>
          <w:szCs w:val="22"/>
          <w:lang w:val="sr-Latn-ME"/>
        </w:rPr>
      </w:pPr>
      <w:r w:rsidRPr="007546E5">
        <w:rPr>
          <w:sz w:val="22"/>
          <w:szCs w:val="22"/>
          <w:lang w:val="sr-Latn-ME"/>
        </w:rPr>
        <w:t>Postoje tri grupe kriterijuma prihvatljivosti, koje se odnose na:</w:t>
      </w:r>
    </w:p>
    <w:p w14:paraId="2FFFA26C" w14:textId="77777777" w:rsidR="000C4D66" w:rsidRPr="007546E5" w:rsidRDefault="000C4D66" w:rsidP="000C4D66">
      <w:pPr>
        <w:pStyle w:val="NormalWeb"/>
        <w:jc w:val="both"/>
        <w:rPr>
          <w:b/>
          <w:sz w:val="22"/>
          <w:szCs w:val="22"/>
          <w:lang w:val="sr-Latn-ME"/>
        </w:rPr>
      </w:pPr>
      <w:r w:rsidRPr="007546E5">
        <w:rPr>
          <w:rStyle w:val="Strong"/>
          <w:b w:val="0"/>
          <w:sz w:val="22"/>
          <w:szCs w:val="22"/>
          <w:lang w:val="sr-Latn-ME"/>
        </w:rPr>
        <w:t>(1) aktere (2.1.1.):</w:t>
      </w:r>
    </w:p>
    <w:p w14:paraId="7D06DE20" w14:textId="77777777" w:rsidR="000C4D66" w:rsidRPr="007546E5" w:rsidRDefault="000C4D66" w:rsidP="000C4D66">
      <w:pPr>
        <w:numPr>
          <w:ilvl w:val="0"/>
          <w:numId w:val="4"/>
        </w:numPr>
        <w:spacing w:before="100" w:beforeAutospacing="1" w:after="100" w:afterAutospacing="1" w:line="240" w:lineRule="auto"/>
        <w:jc w:val="both"/>
        <w:rPr>
          <w:rFonts w:ascii="Times New Roman" w:hAnsi="Times New Roman" w:cs="Times New Roman"/>
        </w:rPr>
      </w:pPr>
      <w:r w:rsidRPr="007546E5">
        <w:rPr>
          <w:rStyle w:val="Strong"/>
          <w:rFonts w:ascii="Times New Roman" w:hAnsi="Times New Roman" w:cs="Times New Roman"/>
        </w:rPr>
        <w:t>„vodeći podnosilac prijave“</w:t>
      </w:r>
      <w:r w:rsidRPr="007546E5">
        <w:rPr>
          <w:rFonts w:ascii="Times New Roman" w:hAnsi="Times New Roman" w:cs="Times New Roman"/>
        </w:rPr>
        <w:t xml:space="preserve">, tj. subjekt koji podnosi obrazac prijave; </w:t>
      </w:r>
    </w:p>
    <w:p w14:paraId="7B789CDF" w14:textId="77777777" w:rsidR="007F5FEC" w:rsidRPr="007546E5" w:rsidRDefault="000C4D66" w:rsidP="007F5FEC">
      <w:pPr>
        <w:numPr>
          <w:ilvl w:val="0"/>
          <w:numId w:val="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ukoliko postoji, njegov(e) </w:t>
      </w:r>
      <w:r w:rsidRPr="007546E5">
        <w:rPr>
          <w:rStyle w:val="Strong"/>
          <w:rFonts w:ascii="Times New Roman" w:hAnsi="Times New Roman" w:cs="Times New Roman"/>
        </w:rPr>
        <w:t>su-podnosilac(ci) prijave</w:t>
      </w:r>
      <w:r w:rsidRPr="007546E5">
        <w:rPr>
          <w:rFonts w:ascii="Times New Roman" w:hAnsi="Times New Roman" w:cs="Times New Roman"/>
        </w:rPr>
        <w:t xml:space="preserve"> </w:t>
      </w:r>
      <w:r w:rsidRPr="007546E5">
        <w:rPr>
          <w:rFonts w:ascii="Times New Roman" w:hAnsi="Times New Roman" w:cs="Times New Roman"/>
          <w:b/>
          <w:u w:val="single"/>
        </w:rPr>
        <w:t>(osim ako nije drugačije navedeno, vodeći podnosilac prijave i njegov(i) su-podnosilac(ci) prijave u daljem tekstu se zajednički nazivaju „podnosioci prijava“);</w:t>
      </w:r>
    </w:p>
    <w:p w14:paraId="4AF373CD" w14:textId="6F145E75" w:rsidR="007F5FEC" w:rsidRPr="007546E5" w:rsidRDefault="007F5FEC" w:rsidP="007F5FEC">
      <w:pPr>
        <w:numPr>
          <w:ilvl w:val="0"/>
          <w:numId w:val="4"/>
        </w:numPr>
        <w:spacing w:before="100" w:beforeAutospacing="1" w:after="100" w:afterAutospacing="1" w:line="240" w:lineRule="auto"/>
        <w:jc w:val="both"/>
        <w:rPr>
          <w:rFonts w:ascii="Times New Roman" w:hAnsi="Times New Roman" w:cs="Times New Roman"/>
        </w:rPr>
      </w:pPr>
      <w:r w:rsidRPr="007546E5">
        <w:rPr>
          <w:rFonts w:ascii="Times New Roman" w:eastAsia="Times New Roman" w:hAnsi="Times New Roman" w:cs="Times New Roman"/>
          <w:lang w:eastAsia="en-GB"/>
        </w:rPr>
        <w:t xml:space="preserve">i, ukoliko postoje, </w:t>
      </w:r>
      <w:r w:rsidRPr="007546E5">
        <w:rPr>
          <w:rFonts w:ascii="Times New Roman" w:eastAsia="Times New Roman" w:hAnsi="Times New Roman" w:cs="Times New Roman"/>
          <w:b/>
          <w:bCs/>
          <w:lang w:eastAsia="en-GB"/>
        </w:rPr>
        <w:t>povezani subjekt(i)</w:t>
      </w:r>
      <w:r w:rsidRPr="007546E5">
        <w:rPr>
          <w:rFonts w:ascii="Times New Roman" w:eastAsia="Times New Roman" w:hAnsi="Times New Roman" w:cs="Times New Roman"/>
          <w:lang w:eastAsia="en-GB"/>
        </w:rPr>
        <w:t xml:space="preserve"> sa vodećim podnosiocem prijave i/ili su-podnosiocem(ima) prijave; </w:t>
      </w:r>
    </w:p>
    <w:p w14:paraId="78AE6752" w14:textId="77777777" w:rsidR="007F5FEC" w:rsidRPr="007546E5" w:rsidRDefault="007F5FEC" w:rsidP="007F5FEC">
      <w:p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bCs/>
          <w:lang w:eastAsia="en-GB"/>
        </w:rPr>
        <w:t>(2) akcije (2.1.3.):</w:t>
      </w:r>
    </w:p>
    <w:p w14:paraId="55BEAB8D" w14:textId="77777777" w:rsidR="007F5FEC" w:rsidRPr="007546E5" w:rsidRDefault="007F5FEC" w:rsidP="007F5FEC">
      <w:pPr>
        <w:numPr>
          <w:ilvl w:val="0"/>
          <w:numId w:val="6"/>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 xml:space="preserve">akcije za koje se može dodijeliti grant; </w:t>
      </w:r>
    </w:p>
    <w:p w14:paraId="0EC81652" w14:textId="77777777" w:rsidR="007F5FEC" w:rsidRPr="007546E5" w:rsidRDefault="007F5FEC" w:rsidP="007F5FEC">
      <w:p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bCs/>
          <w:lang w:eastAsia="en-GB"/>
        </w:rPr>
        <w:t>(3) prihvatljive troškove ili rezultate/uslove (2.1.4.):</w:t>
      </w:r>
    </w:p>
    <w:p w14:paraId="2D0CEFF4" w14:textId="77777777" w:rsidR="007F5FEC" w:rsidRPr="007546E5" w:rsidRDefault="007F5FEC" w:rsidP="007F5FEC">
      <w:pPr>
        <w:numPr>
          <w:ilvl w:val="0"/>
          <w:numId w:val="7"/>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 xml:space="preserve">u slučajevima kada se grant dodjeljuje u obliku nadoknade troškova (u cjelini ili djelimično): prihvatljive troškove, odnosno vrste troškova koji se mogu uzeti u obzir prilikom utvrđivanja iznosa granta; </w:t>
      </w:r>
    </w:p>
    <w:p w14:paraId="3FBDB40E" w14:textId="60DF43DC" w:rsidR="003C0CB1" w:rsidRPr="007546E5" w:rsidRDefault="007F5FEC" w:rsidP="008F7952">
      <w:pPr>
        <w:numPr>
          <w:ilvl w:val="0"/>
          <w:numId w:val="7"/>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u slučajevima kada se grant dodjeljuje u obliku finansiranja koje nije povezano sa troškovima (u cjelini ili djelimično): uslove prihvatljivosti rezultata/uslova.</w:t>
      </w:r>
    </w:p>
    <w:p w14:paraId="3899C365" w14:textId="77777777" w:rsidR="00CF7AC1" w:rsidRPr="007546E5" w:rsidRDefault="00CF7AC1" w:rsidP="00CF7AC1">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2.1.1. Prihvatljivost podnosilaca prijava (tj. vodeći podnosilac prijave i su-podnosilac(ci) prijave)</w:t>
      </w:r>
    </w:p>
    <w:p w14:paraId="7DE9C943" w14:textId="77777777" w:rsidR="00CF7AC1" w:rsidRPr="007546E5" w:rsidRDefault="00CF7AC1" w:rsidP="00CF7AC1">
      <w:pPr>
        <w:pStyle w:val="Heading4"/>
        <w:rPr>
          <w:rFonts w:ascii="Times New Roman" w:hAnsi="Times New Roman" w:cs="Times New Roman"/>
          <w:i w:val="0"/>
          <w:color w:val="auto"/>
        </w:rPr>
      </w:pPr>
      <w:r w:rsidRPr="007546E5">
        <w:rPr>
          <w:rStyle w:val="Strong"/>
          <w:rFonts w:ascii="Times New Roman" w:hAnsi="Times New Roman" w:cs="Times New Roman"/>
          <w:bCs w:val="0"/>
          <w:i w:val="0"/>
          <w:color w:val="auto"/>
        </w:rPr>
        <w:t>Vodeći podnosilac prijave</w:t>
      </w:r>
    </w:p>
    <w:p w14:paraId="0CDB0BCD" w14:textId="77777777" w:rsidR="00CF7AC1" w:rsidRPr="007546E5" w:rsidRDefault="00CF7AC1" w:rsidP="00CF7AC1">
      <w:pPr>
        <w:pStyle w:val="NormalWeb"/>
        <w:jc w:val="both"/>
        <w:rPr>
          <w:sz w:val="22"/>
          <w:szCs w:val="22"/>
          <w:lang w:val="sr-Latn-ME"/>
        </w:rPr>
      </w:pPr>
      <w:r w:rsidRPr="007546E5">
        <w:rPr>
          <w:sz w:val="22"/>
          <w:szCs w:val="22"/>
          <w:lang w:val="sr-Latn-ME"/>
        </w:rPr>
        <w:t>Da bi bio prihvatljiv za dodjelu granta, vodeći podnosilac prijave mora:</w:t>
      </w:r>
    </w:p>
    <w:p w14:paraId="4A605FB5" w14:textId="77777777" w:rsidR="00CF7AC1" w:rsidRPr="007546E5" w:rsidRDefault="00CF7AC1" w:rsidP="00CF7AC1">
      <w:pPr>
        <w:numPr>
          <w:ilvl w:val="0"/>
          <w:numId w:val="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biti pravno lice </w:t>
      </w:r>
      <w:r w:rsidRPr="007546E5">
        <w:rPr>
          <w:rFonts w:ascii="Times New Roman" w:hAnsi="Times New Roman" w:cs="Times New Roman"/>
          <w:b/>
        </w:rPr>
        <w:t>i</w:t>
      </w:r>
      <w:r w:rsidRPr="007546E5">
        <w:rPr>
          <w:rFonts w:ascii="Times New Roman" w:hAnsi="Times New Roman" w:cs="Times New Roman"/>
        </w:rPr>
        <w:t xml:space="preserve"> </w:t>
      </w:r>
    </w:p>
    <w:p w14:paraId="6E449158" w14:textId="77777777" w:rsidR="00CF7AC1" w:rsidRPr="007546E5" w:rsidRDefault="00CF7AC1" w:rsidP="00CF7AC1">
      <w:pPr>
        <w:numPr>
          <w:ilvl w:val="0"/>
          <w:numId w:val="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biti neprofitnog karaktera </w:t>
      </w:r>
      <w:r w:rsidRPr="007546E5">
        <w:rPr>
          <w:rFonts w:ascii="Times New Roman" w:hAnsi="Times New Roman" w:cs="Times New Roman"/>
          <w:b/>
        </w:rPr>
        <w:t>i</w:t>
      </w:r>
      <w:r w:rsidRPr="007546E5">
        <w:rPr>
          <w:rFonts w:ascii="Times New Roman" w:hAnsi="Times New Roman" w:cs="Times New Roman"/>
        </w:rPr>
        <w:t xml:space="preserve"> </w:t>
      </w:r>
    </w:p>
    <w:p w14:paraId="5788E111" w14:textId="703B392B" w:rsidR="00CF7AC1" w:rsidRPr="007546E5" w:rsidRDefault="00CF7AC1" w:rsidP="00CF7AC1">
      <w:pPr>
        <w:numPr>
          <w:ilvl w:val="0"/>
          <w:numId w:val="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biti nevladina organizacija</w:t>
      </w:r>
      <w:r w:rsidRPr="007546E5">
        <w:rPr>
          <w:rStyle w:val="FootnoteReference"/>
          <w:rFonts w:ascii="Times New Roman" w:hAnsi="Times New Roman" w:cs="Times New Roman"/>
        </w:rPr>
        <w:footnoteReference w:id="9"/>
      </w:r>
      <w:r w:rsidRPr="007546E5">
        <w:rPr>
          <w:rFonts w:ascii="Times New Roman" w:hAnsi="Times New Roman" w:cs="Times New Roman"/>
        </w:rPr>
        <w:t xml:space="preserve"> </w:t>
      </w:r>
      <w:r w:rsidRPr="007546E5">
        <w:rPr>
          <w:rFonts w:ascii="Times New Roman" w:hAnsi="Times New Roman" w:cs="Times New Roman"/>
          <w:b/>
        </w:rPr>
        <w:t>i</w:t>
      </w:r>
      <w:r w:rsidRPr="007546E5">
        <w:rPr>
          <w:rFonts w:ascii="Times New Roman" w:hAnsi="Times New Roman" w:cs="Times New Roman"/>
        </w:rPr>
        <w:t xml:space="preserve"> </w:t>
      </w:r>
    </w:p>
    <w:p w14:paraId="392F2C02" w14:textId="12E78DA0" w:rsidR="00CF7AC1" w:rsidRPr="007546E5" w:rsidRDefault="00CF7AC1" w:rsidP="00CF7AC1">
      <w:pPr>
        <w:numPr>
          <w:ilvl w:val="0"/>
          <w:numId w:val="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lastRenderedPageBreak/>
        <w:t>biti osnovan u Crnoj Gori</w:t>
      </w:r>
      <w:r w:rsidRPr="007546E5">
        <w:rPr>
          <w:rStyle w:val="FootnoteReference"/>
          <w:rFonts w:ascii="Times New Roman" w:hAnsi="Times New Roman" w:cs="Times New Roman"/>
        </w:rPr>
        <w:footnoteReference w:id="10"/>
      </w:r>
      <w:r w:rsidRPr="007546E5">
        <w:rPr>
          <w:rFonts w:ascii="Times New Roman" w:hAnsi="Times New Roman" w:cs="Times New Roman"/>
        </w:rPr>
        <w:t xml:space="preserve"> ili državi članici Evropske unije</w:t>
      </w:r>
      <w:r w:rsidRPr="007546E5">
        <w:rPr>
          <w:rStyle w:val="FootnoteReference"/>
          <w:rFonts w:ascii="Times New Roman" w:hAnsi="Times New Roman" w:cs="Times New Roman"/>
        </w:rPr>
        <w:footnoteReference w:id="11"/>
      </w:r>
      <w:r w:rsidRPr="007546E5">
        <w:rPr>
          <w:rFonts w:ascii="Times New Roman" w:hAnsi="Times New Roman" w:cs="Times New Roman"/>
        </w:rPr>
        <w:t>, ili u bilo kojoj drugoj zemlji, s obzirom na to da su sve zemlje prihvatljive za učešće u ugovorima finansiranim u okviru ovog Instrumenta, ne dovodeći u pitanje ograničenja koja proizilaze iz prirode i ciljeva akcije</w:t>
      </w:r>
      <w:r w:rsidRPr="007546E5">
        <w:rPr>
          <w:rStyle w:val="FootnoteReference"/>
          <w:rFonts w:ascii="Times New Roman" w:hAnsi="Times New Roman" w:cs="Times New Roman"/>
        </w:rPr>
        <w:footnoteReference w:id="12"/>
      </w:r>
      <w:r w:rsidRPr="007546E5">
        <w:rPr>
          <w:rFonts w:ascii="Times New Roman" w:hAnsi="Times New Roman" w:cs="Times New Roman"/>
        </w:rPr>
        <w:t xml:space="preserve">, </w:t>
      </w:r>
      <w:r w:rsidRPr="007546E5">
        <w:rPr>
          <w:rFonts w:ascii="Times New Roman" w:hAnsi="Times New Roman" w:cs="Times New Roman"/>
          <w:b/>
        </w:rPr>
        <w:t>i</w:t>
      </w:r>
      <w:r w:rsidRPr="007546E5">
        <w:rPr>
          <w:rFonts w:ascii="Times New Roman" w:hAnsi="Times New Roman" w:cs="Times New Roman"/>
        </w:rPr>
        <w:t xml:space="preserve"> </w:t>
      </w:r>
    </w:p>
    <w:p w14:paraId="61B8129B" w14:textId="0E7A2510" w:rsidR="00CF7AC1" w:rsidRPr="007546E5" w:rsidRDefault="00CF7AC1" w:rsidP="00CF7AC1">
      <w:pPr>
        <w:numPr>
          <w:ilvl w:val="0"/>
          <w:numId w:val="8"/>
        </w:numPr>
        <w:spacing w:before="100" w:beforeAutospacing="1" w:after="100" w:afterAutospacing="1" w:line="240" w:lineRule="auto"/>
        <w:rPr>
          <w:rFonts w:ascii="Times New Roman" w:hAnsi="Times New Roman" w:cs="Times New Roman"/>
        </w:rPr>
      </w:pPr>
      <w:r w:rsidRPr="007546E5">
        <w:rPr>
          <w:rFonts w:ascii="Times New Roman" w:hAnsi="Times New Roman" w:cs="Times New Roman"/>
        </w:rPr>
        <w:t xml:space="preserve">biti registrovan najmanje 24 mjeseca prije roka za podnošenje </w:t>
      </w:r>
      <w:r w:rsidR="002832D2" w:rsidRPr="007546E5">
        <w:rPr>
          <w:rFonts w:ascii="Times New Roman" w:hAnsi="Times New Roman" w:cs="Times New Roman"/>
        </w:rPr>
        <w:t>prijedlog</w:t>
      </w:r>
      <w:r w:rsidRPr="007546E5">
        <w:rPr>
          <w:rFonts w:ascii="Times New Roman" w:hAnsi="Times New Roman" w:cs="Times New Roman"/>
        </w:rPr>
        <w:t xml:space="preserve">a projekata, </w:t>
      </w:r>
      <w:r w:rsidRPr="007546E5">
        <w:rPr>
          <w:rFonts w:ascii="Times New Roman" w:hAnsi="Times New Roman" w:cs="Times New Roman"/>
          <w:b/>
        </w:rPr>
        <w:t>i</w:t>
      </w:r>
    </w:p>
    <w:p w14:paraId="6DAEA1E4" w14:textId="77777777" w:rsidR="00CF7AC1" w:rsidRPr="007546E5" w:rsidRDefault="00CF7AC1" w:rsidP="00CF7AC1">
      <w:pPr>
        <w:numPr>
          <w:ilvl w:val="0"/>
          <w:numId w:val="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biti direktno odgovoran za pripremu i upravljanje akcijom zajedno sa su-podnosiocem(ima) prijave i povezanim subjektom(ima), ne djelujući kao posrednik, </w:t>
      </w:r>
      <w:r w:rsidRPr="007546E5">
        <w:rPr>
          <w:rFonts w:ascii="Times New Roman" w:hAnsi="Times New Roman" w:cs="Times New Roman"/>
          <w:b/>
        </w:rPr>
        <w:t>i</w:t>
      </w:r>
      <w:r w:rsidRPr="007546E5">
        <w:rPr>
          <w:rFonts w:ascii="Times New Roman" w:hAnsi="Times New Roman" w:cs="Times New Roman"/>
        </w:rPr>
        <w:t xml:space="preserve"> </w:t>
      </w:r>
    </w:p>
    <w:p w14:paraId="5F85A302" w14:textId="77777777" w:rsidR="00CF7AC1" w:rsidRPr="007546E5" w:rsidRDefault="00CF7AC1" w:rsidP="00CF7AC1">
      <w:pPr>
        <w:numPr>
          <w:ilvl w:val="0"/>
          <w:numId w:val="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ne nalaziti se ni u jednoj od situacija navedenih u odjeljku 2.4 Praktičnog vodiča, </w:t>
      </w:r>
      <w:r w:rsidRPr="007546E5">
        <w:rPr>
          <w:rFonts w:ascii="Times New Roman" w:hAnsi="Times New Roman" w:cs="Times New Roman"/>
          <w:b/>
        </w:rPr>
        <w:t xml:space="preserve">i </w:t>
      </w:r>
    </w:p>
    <w:p w14:paraId="24CB753F" w14:textId="77777777" w:rsidR="00CF7AC1" w:rsidRPr="007546E5" w:rsidRDefault="00CF7AC1" w:rsidP="00CF7AC1">
      <w:pPr>
        <w:numPr>
          <w:ilvl w:val="0"/>
          <w:numId w:val="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u slučaju da nije osnovan u Crnoj Gori, mora djelovati sa najmanje jednim su-podnosiocem prijave koji je osnovan u Crnoj Gori. </w:t>
      </w:r>
    </w:p>
    <w:p w14:paraId="2C5DAC7B" w14:textId="77777777" w:rsidR="00CF7AC1" w:rsidRPr="007546E5" w:rsidRDefault="00CF7AC1" w:rsidP="00CF7AC1">
      <w:pPr>
        <w:pStyle w:val="NormalWeb"/>
        <w:jc w:val="both"/>
        <w:rPr>
          <w:b/>
          <w:sz w:val="22"/>
          <w:szCs w:val="22"/>
          <w:lang w:val="sr-Latn-ME"/>
        </w:rPr>
      </w:pPr>
      <w:r w:rsidRPr="007546E5">
        <w:rPr>
          <w:b/>
          <w:sz w:val="22"/>
          <w:szCs w:val="22"/>
          <w:lang w:val="sr-Latn-ME"/>
        </w:rPr>
        <w:t>Vodeći podnosilac prijave mora djelovati sa su-podnosiocem(ima) prijave kako je dalje navedeno.</w:t>
      </w:r>
    </w:p>
    <w:p w14:paraId="20AEC62C" w14:textId="77777777" w:rsidR="00CF7AC1" w:rsidRPr="007546E5" w:rsidRDefault="00CF7AC1" w:rsidP="00CF7AC1">
      <w:pPr>
        <w:pStyle w:val="NormalWeb"/>
        <w:jc w:val="both"/>
        <w:rPr>
          <w:sz w:val="22"/>
          <w:szCs w:val="22"/>
          <w:lang w:val="sr-Latn-ME"/>
        </w:rPr>
      </w:pPr>
      <w:r w:rsidRPr="007546E5">
        <w:rPr>
          <w:sz w:val="22"/>
          <w:szCs w:val="22"/>
          <w:lang w:val="sr-Latn-ME"/>
        </w:rPr>
        <w:t>Vodeći podnosilac prijave može djelovati samostalno ili zajedno sa su-podnosiocem(ima) prijave.</w:t>
      </w:r>
    </w:p>
    <w:p w14:paraId="3E2AE1AE" w14:textId="1761093A" w:rsidR="00CF7AC1" w:rsidRPr="007546E5" w:rsidRDefault="00CF7AC1" w:rsidP="00CF7AC1">
      <w:pPr>
        <w:pStyle w:val="NormalWeb"/>
        <w:jc w:val="both"/>
        <w:rPr>
          <w:sz w:val="22"/>
          <w:szCs w:val="22"/>
          <w:lang w:val="sr-Latn-ME"/>
        </w:rPr>
      </w:pPr>
      <w:r w:rsidRPr="007546E5">
        <w:rPr>
          <w:sz w:val="22"/>
          <w:szCs w:val="22"/>
          <w:lang w:val="sr-Latn-ME"/>
        </w:rPr>
        <w:t>U slučaju dodjele ugovora o grantu, vodeći podnosilac prijave postaje korisnik sredstava označen kao koordinator u Aneksu G (posebni uslovi). Koordinator je jedini kontakt sa ugovornim tijelom. On predstavlja i djeluje u ime svih ostalih su-korisnika (ukoliko postoje) i koordinira izradu i sprovođenje akcije.</w:t>
      </w:r>
    </w:p>
    <w:p w14:paraId="0E20A6C2" w14:textId="77777777" w:rsidR="00CF7AC1" w:rsidRPr="007546E5" w:rsidRDefault="00CF7AC1" w:rsidP="00CF7AC1">
      <w:pPr>
        <w:pStyle w:val="Heading4"/>
        <w:rPr>
          <w:rFonts w:ascii="Times New Roman" w:hAnsi="Times New Roman" w:cs="Times New Roman"/>
          <w:i w:val="0"/>
          <w:color w:val="auto"/>
        </w:rPr>
      </w:pPr>
      <w:r w:rsidRPr="007546E5">
        <w:rPr>
          <w:rStyle w:val="Strong"/>
          <w:rFonts w:ascii="Times New Roman" w:hAnsi="Times New Roman" w:cs="Times New Roman"/>
          <w:bCs w:val="0"/>
          <w:i w:val="0"/>
          <w:color w:val="auto"/>
        </w:rPr>
        <w:t>Su-podnosilac(ci) prijave</w:t>
      </w:r>
    </w:p>
    <w:p w14:paraId="15AA0C16" w14:textId="77777777" w:rsidR="00CF7AC1" w:rsidRPr="007546E5" w:rsidRDefault="00CF7AC1" w:rsidP="00CF7AC1">
      <w:pPr>
        <w:pStyle w:val="NormalWeb"/>
        <w:jc w:val="both"/>
        <w:rPr>
          <w:sz w:val="22"/>
          <w:szCs w:val="22"/>
          <w:lang w:val="sr-Latn-ME"/>
        </w:rPr>
      </w:pPr>
      <w:r w:rsidRPr="007546E5">
        <w:rPr>
          <w:sz w:val="22"/>
          <w:szCs w:val="22"/>
          <w:lang w:val="sr-Latn-ME"/>
        </w:rPr>
        <w:t>Su-podnosioci prijave učestvuju u osmišljavanju i sprovođenju akcije, a troškovi koje oni imaju prihvatljivi su na isti način kao i troškovi koje ima vodeći podnosilac prijave.</w:t>
      </w:r>
    </w:p>
    <w:p w14:paraId="379E76E4" w14:textId="77777777" w:rsidR="00CF7AC1" w:rsidRPr="007546E5" w:rsidRDefault="00CF7AC1" w:rsidP="00CF7AC1">
      <w:pPr>
        <w:pStyle w:val="NormalWeb"/>
        <w:jc w:val="both"/>
        <w:rPr>
          <w:sz w:val="22"/>
          <w:szCs w:val="22"/>
          <w:lang w:val="sr-Latn-ME"/>
        </w:rPr>
      </w:pPr>
      <w:r w:rsidRPr="007546E5">
        <w:rPr>
          <w:sz w:val="22"/>
          <w:szCs w:val="22"/>
          <w:lang w:val="sr-Latn-ME"/>
        </w:rPr>
        <w:t>Su-podnosioci prijave moraju ispunjavati iste kriterijume prihvatljivosti kao i vodeći podnosilac prijave.</w:t>
      </w:r>
    </w:p>
    <w:p w14:paraId="5543ECEE" w14:textId="77777777" w:rsidR="00CF7AC1" w:rsidRPr="007546E5" w:rsidRDefault="00CF7AC1" w:rsidP="00CF7AC1">
      <w:pPr>
        <w:pStyle w:val="NormalWeb"/>
        <w:jc w:val="both"/>
        <w:rPr>
          <w:sz w:val="22"/>
          <w:szCs w:val="22"/>
          <w:lang w:val="sr-Latn-ME"/>
        </w:rPr>
      </w:pPr>
      <w:r w:rsidRPr="007546E5">
        <w:rPr>
          <w:sz w:val="22"/>
          <w:szCs w:val="22"/>
          <w:lang w:val="sr-Latn-ME"/>
        </w:rPr>
        <w:t>Su-podnosioci prijave moraju potpisati mandat iz Aneksa A.2, odjeljak 5.</w:t>
      </w:r>
    </w:p>
    <w:p w14:paraId="29E55A14" w14:textId="2DBDFC63" w:rsidR="00CF7AC1" w:rsidRPr="007546E5" w:rsidRDefault="00CF7AC1" w:rsidP="00CF7AC1">
      <w:pPr>
        <w:pStyle w:val="NormalWeb"/>
        <w:jc w:val="both"/>
        <w:rPr>
          <w:sz w:val="22"/>
          <w:szCs w:val="22"/>
          <w:lang w:val="sr-Latn-ME"/>
        </w:rPr>
      </w:pPr>
      <w:r w:rsidRPr="007546E5">
        <w:rPr>
          <w:sz w:val="22"/>
          <w:szCs w:val="22"/>
          <w:lang w:val="sr-Latn-ME"/>
        </w:rPr>
        <w:t>U slučaju dodjele ugovora o grantu, su-podnosilac(ci) prijave (ukoliko postoje) postaće korisnici sredstava u okviru akcije (zajedno sa koordinatorom).</w:t>
      </w:r>
    </w:p>
    <w:p w14:paraId="1F4CC932" w14:textId="77777777" w:rsidR="00CF7AC1" w:rsidRPr="007546E5" w:rsidRDefault="00CF7AC1" w:rsidP="00CF7AC1">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Povezani subjekti</w:t>
      </w:r>
    </w:p>
    <w:p w14:paraId="5FCF555C" w14:textId="77777777" w:rsidR="00CF7AC1" w:rsidRPr="007546E5" w:rsidRDefault="00CF7AC1" w:rsidP="00CF7AC1">
      <w:pPr>
        <w:pStyle w:val="NormalWeb"/>
        <w:jc w:val="both"/>
        <w:rPr>
          <w:sz w:val="22"/>
          <w:szCs w:val="22"/>
          <w:lang w:val="sr-Latn-ME"/>
        </w:rPr>
      </w:pPr>
      <w:r w:rsidRPr="007546E5">
        <w:rPr>
          <w:sz w:val="22"/>
          <w:szCs w:val="22"/>
          <w:lang w:val="sr-Latn-ME"/>
        </w:rPr>
        <w:t>Vodeći podnosilac prijave i njegov(i) su-podnosilac(ci) prijave mogu djelovati zajedno sa povezanim subjektom(ima).</w:t>
      </w:r>
    </w:p>
    <w:p w14:paraId="300A8E3A" w14:textId="77777777" w:rsidR="00CF7AC1" w:rsidRPr="007546E5" w:rsidRDefault="00CF7AC1" w:rsidP="00CF7AC1">
      <w:pPr>
        <w:pStyle w:val="NormalWeb"/>
        <w:jc w:val="both"/>
        <w:rPr>
          <w:sz w:val="22"/>
          <w:szCs w:val="22"/>
          <w:u w:val="single"/>
          <w:lang w:val="sr-Latn-ME"/>
        </w:rPr>
      </w:pPr>
      <w:r w:rsidRPr="007546E5">
        <w:rPr>
          <w:sz w:val="22"/>
          <w:szCs w:val="22"/>
          <w:u w:val="single"/>
          <w:lang w:val="sr-Latn-ME"/>
        </w:rPr>
        <w:t>Samo sljedeći subjekti mogu se smatrati povezanim subjektima vodećeg podnosioca prijave i/ili su-podnosioca prijave:</w:t>
      </w:r>
    </w:p>
    <w:p w14:paraId="1FFF1ED0" w14:textId="77777777" w:rsidR="00CF7AC1" w:rsidRPr="007546E5" w:rsidRDefault="00CF7AC1" w:rsidP="00CF7AC1">
      <w:pPr>
        <w:pStyle w:val="NormalWeb"/>
        <w:jc w:val="both"/>
        <w:rPr>
          <w:sz w:val="22"/>
          <w:szCs w:val="22"/>
          <w:lang w:val="sr-Latn-ME"/>
        </w:rPr>
      </w:pPr>
      <w:r w:rsidRPr="007546E5">
        <w:rPr>
          <w:sz w:val="22"/>
          <w:szCs w:val="22"/>
          <w:lang w:val="sr-Latn-ME"/>
        </w:rPr>
        <w:lastRenderedPageBreak/>
        <w:t>Isključivo subjekti koji imaju strukturnu vezu sa podnosiocima prijava (tj. vodećim podnosiocem prijave ili su-podnosiocem prijave), naročito pravnu ili kapitalnu povezanost.</w:t>
      </w:r>
    </w:p>
    <w:p w14:paraId="194DDFF1" w14:textId="77777777" w:rsidR="00CF7AC1" w:rsidRPr="007546E5" w:rsidRDefault="00CF7AC1" w:rsidP="00CF7AC1">
      <w:pPr>
        <w:pStyle w:val="NormalWeb"/>
        <w:jc w:val="both"/>
        <w:rPr>
          <w:sz w:val="22"/>
          <w:szCs w:val="22"/>
          <w:lang w:val="sr-Latn-ME"/>
        </w:rPr>
      </w:pPr>
      <w:r w:rsidRPr="007546E5">
        <w:rPr>
          <w:sz w:val="22"/>
          <w:szCs w:val="22"/>
          <w:lang w:val="sr-Latn-ME"/>
        </w:rPr>
        <w:t>Ova strukturna veza prvenstveno obuhvata dva pojma:</w:t>
      </w:r>
    </w:p>
    <w:p w14:paraId="5B94D3E0" w14:textId="731B7531" w:rsidR="00CF7AC1" w:rsidRPr="007546E5" w:rsidRDefault="00CF7AC1" w:rsidP="003D72E2">
      <w:pPr>
        <w:pStyle w:val="NormalWeb"/>
        <w:numPr>
          <w:ilvl w:val="1"/>
          <w:numId w:val="6"/>
        </w:numPr>
        <w:jc w:val="both"/>
        <w:rPr>
          <w:sz w:val="22"/>
          <w:szCs w:val="22"/>
          <w:lang w:val="sr-Latn-ME"/>
        </w:rPr>
      </w:pPr>
      <w:r w:rsidRPr="007546E5">
        <w:rPr>
          <w:rStyle w:val="Strong"/>
          <w:b w:val="0"/>
          <w:sz w:val="22"/>
          <w:szCs w:val="22"/>
          <w:lang w:val="sr-Latn-ME"/>
        </w:rPr>
        <w:t>Kontrola</w:t>
      </w:r>
      <w:r w:rsidRPr="007546E5">
        <w:rPr>
          <w:sz w:val="22"/>
          <w:szCs w:val="22"/>
          <w:lang w:val="sr-Latn-ME"/>
        </w:rPr>
        <w:t>, kako je definisana Direktivom 2013/34/EU o godišnjim finansijskim izvještajima, konsolidovanim finansijskim izvještajima i povezanim izvještajima za određene vrste preduzeća:</w:t>
      </w:r>
    </w:p>
    <w:p w14:paraId="77912278" w14:textId="77777777" w:rsidR="00CF7AC1" w:rsidRPr="007546E5" w:rsidRDefault="00CF7AC1" w:rsidP="003D72E2">
      <w:pPr>
        <w:pStyle w:val="NormalWeb"/>
        <w:ind w:left="425" w:firstLine="720"/>
        <w:jc w:val="both"/>
        <w:rPr>
          <w:sz w:val="22"/>
          <w:szCs w:val="22"/>
          <w:lang w:val="sr-Latn-ME"/>
        </w:rPr>
      </w:pPr>
      <w:r w:rsidRPr="007546E5">
        <w:rPr>
          <w:sz w:val="22"/>
          <w:szCs w:val="22"/>
          <w:lang w:val="sr-Latn-ME"/>
        </w:rPr>
        <w:t>Subjekti povezani sa podnosiocem prijave mogu, stoga, biti:</w:t>
      </w:r>
    </w:p>
    <w:p w14:paraId="15E45D97" w14:textId="77777777" w:rsidR="00CF7AC1" w:rsidRPr="007546E5" w:rsidRDefault="00CF7AC1" w:rsidP="00CF7AC1">
      <w:pPr>
        <w:numPr>
          <w:ilvl w:val="0"/>
          <w:numId w:val="9"/>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subjekti koji su direktno ili indirektno pod kontrolom podnosioca prijave (zavisna društva ili društva prvog nivoa). To mogu biti i subjekti pod kontrolom subjekta koji je pod kontrolom podnosioca prijave (društva drugog nivoa), a isto se odnosi i na dalje nivoe kontrole; </w:t>
      </w:r>
    </w:p>
    <w:p w14:paraId="74E73767" w14:textId="77777777" w:rsidR="00CF7AC1" w:rsidRPr="007546E5" w:rsidRDefault="00CF7AC1" w:rsidP="00CF7AC1">
      <w:pPr>
        <w:numPr>
          <w:ilvl w:val="0"/>
          <w:numId w:val="9"/>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subjekti koji direktno ili indirektno kontrolišu podnosioca prijave (matična društva). Takođe, to mogu biti i subjekti koji kontrolišu subjekta koji kontroliše podnosioca prijave; </w:t>
      </w:r>
    </w:p>
    <w:p w14:paraId="224CC2EF" w14:textId="622A0148" w:rsidR="003D72E2" w:rsidRPr="007546E5" w:rsidRDefault="00CF7AC1" w:rsidP="003D72E2">
      <w:pPr>
        <w:numPr>
          <w:ilvl w:val="0"/>
          <w:numId w:val="9"/>
        </w:numPr>
        <w:spacing w:before="100" w:beforeAutospacing="1" w:after="100" w:afterAutospacing="1" w:line="240" w:lineRule="auto"/>
        <w:jc w:val="both"/>
        <w:rPr>
          <w:rStyle w:val="Strong"/>
          <w:rFonts w:ascii="Times New Roman" w:hAnsi="Times New Roman" w:cs="Times New Roman"/>
          <w:b w:val="0"/>
          <w:bCs w:val="0"/>
        </w:rPr>
      </w:pPr>
      <w:r w:rsidRPr="007546E5">
        <w:rPr>
          <w:rFonts w:ascii="Times New Roman" w:hAnsi="Times New Roman" w:cs="Times New Roman"/>
        </w:rPr>
        <w:t xml:space="preserve">subjekti koji su pod istom direktnom ili indirektnom kontrolom kao i podnosilac prijave (povezana društva). </w:t>
      </w:r>
    </w:p>
    <w:p w14:paraId="331547B7" w14:textId="12385709" w:rsidR="00CF7AC1" w:rsidRPr="007546E5" w:rsidRDefault="00CF7AC1" w:rsidP="003D72E2">
      <w:pPr>
        <w:pStyle w:val="NormalWeb"/>
        <w:numPr>
          <w:ilvl w:val="1"/>
          <w:numId w:val="6"/>
        </w:numPr>
        <w:jc w:val="both"/>
        <w:rPr>
          <w:sz w:val="22"/>
          <w:szCs w:val="22"/>
          <w:lang w:val="sr-Latn-ME"/>
        </w:rPr>
      </w:pPr>
      <w:r w:rsidRPr="007546E5">
        <w:rPr>
          <w:rStyle w:val="Strong"/>
          <w:b w:val="0"/>
          <w:sz w:val="22"/>
          <w:szCs w:val="22"/>
          <w:lang w:val="sr-Latn-ME"/>
        </w:rPr>
        <w:t>Članstvo</w:t>
      </w:r>
      <w:r w:rsidRPr="007546E5">
        <w:rPr>
          <w:sz w:val="22"/>
          <w:szCs w:val="22"/>
          <w:lang w:val="sr-Latn-ME"/>
        </w:rPr>
        <w:t>, odnosno situacija u kojoj je podnosilac prijave pravno definisan kao, na primjer, mreža, federacija ili udruženje u kojem predloženi povezani subjekti takođe učestvuju, ili kada podnosilac prijave učestvuje u istom subjektu (npr. mreži, federaciji, udruženju itd.) kao i predloženi povezani subjekti.</w:t>
      </w:r>
    </w:p>
    <w:p w14:paraId="526CFC90" w14:textId="5598B280" w:rsidR="00CF7AC1" w:rsidRPr="007546E5" w:rsidRDefault="00CF7AC1" w:rsidP="00CF7AC1">
      <w:pPr>
        <w:pStyle w:val="NormalWeb"/>
        <w:jc w:val="both"/>
        <w:rPr>
          <w:sz w:val="22"/>
          <w:szCs w:val="22"/>
          <w:lang w:val="sr-Latn-ME"/>
        </w:rPr>
      </w:pPr>
      <w:r w:rsidRPr="007546E5">
        <w:rPr>
          <w:sz w:val="22"/>
          <w:szCs w:val="22"/>
          <w:lang w:val="sr-Latn-ME"/>
        </w:rPr>
        <w:t xml:space="preserve">Strukturna veza, kao opšte pravilo, ne smije biti ograničena na samu akciju niti uspostavljena isključivo u svrhu njenog sprovođenja. To znači da veza mora postojati nezavisno od dodjele granta; treba da postoji prije objave poziva za dostavljanje </w:t>
      </w:r>
      <w:r w:rsidR="002832D2" w:rsidRPr="007546E5">
        <w:rPr>
          <w:sz w:val="22"/>
          <w:szCs w:val="22"/>
          <w:lang w:val="sr-Latn-ME"/>
        </w:rPr>
        <w:t>prijedlog</w:t>
      </w:r>
      <w:r w:rsidRPr="007546E5">
        <w:rPr>
          <w:sz w:val="22"/>
          <w:szCs w:val="22"/>
          <w:lang w:val="sr-Latn-ME"/>
        </w:rPr>
        <w:t>a projekata i da ostane važeća i nakon završetka akcije.</w:t>
      </w:r>
    </w:p>
    <w:p w14:paraId="473E1C8B" w14:textId="3795D843" w:rsidR="00CF7AC1" w:rsidRPr="007546E5" w:rsidRDefault="00CF7AC1" w:rsidP="003D72E2">
      <w:pPr>
        <w:pStyle w:val="NormalWeb"/>
        <w:jc w:val="both"/>
        <w:rPr>
          <w:sz w:val="22"/>
          <w:szCs w:val="22"/>
          <w:lang w:val="sr-Latn-ME"/>
        </w:rPr>
      </w:pPr>
      <w:r w:rsidRPr="007546E5">
        <w:rPr>
          <w:sz w:val="22"/>
          <w:szCs w:val="22"/>
          <w:lang w:val="sr-Latn-ME"/>
        </w:rPr>
        <w:t>Izuzetno, subjekt se može smatrati povezanim sa podnosiocem prijave čak i ako ima strukturnu vezu uspostavljenu isključivo u svrhu sprovođenja akcije, u slučaju tzv. „jedinstvenih podnosilaca prijave“ ili „jedinstvenih korisnika“. Jedinstveni podnosilac prijave ili jedinstveni korisnik je pravno lice koje čini više subjekata (grupa subjekata) koji zajedno ispunjavaju kriterijume za dodjelu granta. Na primjer, udruženje čine njegovi članovi.</w:t>
      </w:r>
    </w:p>
    <w:p w14:paraId="34D9DA09" w14:textId="77777777" w:rsidR="00CF7AC1" w:rsidRPr="007546E5" w:rsidRDefault="00CF7AC1" w:rsidP="00CF7AC1">
      <w:pPr>
        <w:pStyle w:val="Heading4"/>
        <w:jc w:val="both"/>
        <w:rPr>
          <w:rFonts w:ascii="Times New Roman" w:hAnsi="Times New Roman" w:cs="Times New Roman"/>
          <w:i w:val="0"/>
          <w:color w:val="auto"/>
          <w:u w:val="single"/>
        </w:rPr>
      </w:pPr>
      <w:r w:rsidRPr="007546E5">
        <w:rPr>
          <w:rStyle w:val="Strong"/>
          <w:rFonts w:ascii="Times New Roman" w:hAnsi="Times New Roman" w:cs="Times New Roman"/>
          <w:b w:val="0"/>
          <w:bCs w:val="0"/>
          <w:i w:val="0"/>
          <w:color w:val="auto"/>
          <w:u w:val="single"/>
        </w:rPr>
        <w:t>Šta se ne smatra povezanim subjektom?</w:t>
      </w:r>
    </w:p>
    <w:p w14:paraId="248E676F" w14:textId="77777777" w:rsidR="00CF7AC1" w:rsidRPr="007546E5" w:rsidRDefault="00CF7AC1" w:rsidP="00CF7AC1">
      <w:pPr>
        <w:pStyle w:val="NormalWeb"/>
        <w:jc w:val="both"/>
        <w:rPr>
          <w:sz w:val="22"/>
          <w:szCs w:val="22"/>
          <w:lang w:val="sr-Latn-ME"/>
        </w:rPr>
      </w:pPr>
      <w:r w:rsidRPr="007546E5">
        <w:rPr>
          <w:sz w:val="22"/>
          <w:szCs w:val="22"/>
          <w:lang w:val="sr-Latn-ME"/>
        </w:rPr>
        <w:t>Sljedeći subjekti se ne smatraju povezanim sa podnosiocem prijave:</w:t>
      </w:r>
    </w:p>
    <w:p w14:paraId="0622D0D7" w14:textId="77777777" w:rsidR="00CF7AC1" w:rsidRPr="007546E5" w:rsidRDefault="00CF7AC1" w:rsidP="00CF7AC1">
      <w:pPr>
        <w:numPr>
          <w:ilvl w:val="0"/>
          <w:numId w:val="10"/>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subjekti koji su zaključili ugovor (o nabavci) ili podugovor sa podnosiocem prijave, ili djeluju kao koncesionari ili delegati za pružanje javnih usluga za podnosioca prijave; </w:t>
      </w:r>
    </w:p>
    <w:p w14:paraId="00B26E79" w14:textId="77777777" w:rsidR="00CF7AC1" w:rsidRPr="007546E5" w:rsidRDefault="00CF7AC1" w:rsidP="00CF7AC1">
      <w:pPr>
        <w:numPr>
          <w:ilvl w:val="0"/>
          <w:numId w:val="10"/>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subjekti koji primaju finansijsku podršku od podnosioca prijave; </w:t>
      </w:r>
    </w:p>
    <w:p w14:paraId="5844CB6E" w14:textId="77777777" w:rsidR="00CF7AC1" w:rsidRPr="007546E5" w:rsidRDefault="00CF7AC1" w:rsidP="00CF7AC1">
      <w:pPr>
        <w:numPr>
          <w:ilvl w:val="0"/>
          <w:numId w:val="10"/>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subjekti koji redovno sarađuju sa podnosiocem prijave na osnovu memoranduma o razumijevanju ili dijele određenu imovinu; </w:t>
      </w:r>
    </w:p>
    <w:p w14:paraId="623D32FF" w14:textId="77777777" w:rsidR="00CF7AC1" w:rsidRPr="007546E5" w:rsidRDefault="00CF7AC1" w:rsidP="00CF7AC1">
      <w:pPr>
        <w:numPr>
          <w:ilvl w:val="0"/>
          <w:numId w:val="10"/>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subjekti koji su potpisali sporazum o konzorcijumu u okviru ugovora o grantu (osim ako taj sporazum dovodi do formiranja „jedinstvenog podnosioca prijave“ kako je gore opisano).</w:t>
      </w:r>
    </w:p>
    <w:p w14:paraId="02C24ED4" w14:textId="77777777" w:rsidR="00772254" w:rsidRPr="007546E5" w:rsidRDefault="00772254" w:rsidP="00772254">
      <w:pPr>
        <w:pStyle w:val="Heading3"/>
        <w:jc w:val="both"/>
        <w:rPr>
          <w:rFonts w:ascii="Times New Roman" w:hAnsi="Times New Roman" w:cs="Times New Roman"/>
          <w:color w:val="auto"/>
          <w:sz w:val="22"/>
          <w:szCs w:val="22"/>
          <w:u w:val="single"/>
        </w:rPr>
      </w:pPr>
      <w:r w:rsidRPr="007546E5">
        <w:rPr>
          <w:rStyle w:val="Strong"/>
          <w:rFonts w:ascii="Times New Roman" w:hAnsi="Times New Roman" w:cs="Times New Roman"/>
          <w:b w:val="0"/>
          <w:bCs w:val="0"/>
          <w:color w:val="auto"/>
          <w:sz w:val="22"/>
          <w:szCs w:val="22"/>
          <w:u w:val="single"/>
        </w:rPr>
        <w:lastRenderedPageBreak/>
        <w:t>Kako se provjerava postojanje tražene veze sa podnosiocem prijave?</w:t>
      </w:r>
    </w:p>
    <w:p w14:paraId="7356CEDD" w14:textId="77777777" w:rsidR="00772254" w:rsidRPr="007546E5" w:rsidRDefault="00772254" w:rsidP="00772254">
      <w:pPr>
        <w:pStyle w:val="NormalWeb"/>
        <w:jc w:val="both"/>
        <w:rPr>
          <w:sz w:val="22"/>
          <w:szCs w:val="22"/>
          <w:lang w:val="sr-Latn-ME"/>
        </w:rPr>
      </w:pPr>
      <w:r w:rsidRPr="007546E5">
        <w:rPr>
          <w:sz w:val="22"/>
          <w:szCs w:val="22"/>
          <w:lang w:val="sr-Latn-ME"/>
        </w:rPr>
        <w:t>Povezanost koja proizilazi iz kontrole može se, između ostalog, dokazati na osnovu konsolidovanih finansijskih izvještaja grupe subjekata kojoj pripada podnosilac prijave i njegovi predloženi povezani subjekti.</w:t>
      </w:r>
    </w:p>
    <w:p w14:paraId="644AE8CD" w14:textId="77777777" w:rsidR="00772254" w:rsidRPr="007546E5" w:rsidRDefault="00772254" w:rsidP="00772254">
      <w:pPr>
        <w:pStyle w:val="NormalWeb"/>
        <w:jc w:val="both"/>
        <w:rPr>
          <w:sz w:val="22"/>
          <w:szCs w:val="22"/>
          <w:lang w:val="sr-Latn-ME"/>
        </w:rPr>
      </w:pPr>
      <w:r w:rsidRPr="007546E5">
        <w:rPr>
          <w:sz w:val="22"/>
          <w:szCs w:val="22"/>
          <w:lang w:val="sr-Latn-ME"/>
        </w:rPr>
        <w:t>Povezanost koja proizilazi iz članstva može se, između ostalog, dokazati na osnovu statuta ili ekvivalentnog akta o osnivanju subjekta (mreže, federacije, udruženja) koji podnosilac prijave čini ili u kojem učestvuje.</w:t>
      </w:r>
    </w:p>
    <w:p w14:paraId="28D1DC43" w14:textId="77777777" w:rsidR="00772254" w:rsidRPr="007546E5" w:rsidRDefault="00772254" w:rsidP="00772254">
      <w:pPr>
        <w:pStyle w:val="NormalWeb"/>
        <w:jc w:val="both"/>
        <w:rPr>
          <w:sz w:val="22"/>
          <w:szCs w:val="22"/>
          <w:lang w:val="sr-Latn-ME"/>
        </w:rPr>
      </w:pPr>
      <w:r w:rsidRPr="007546E5">
        <w:rPr>
          <w:sz w:val="22"/>
          <w:szCs w:val="22"/>
          <w:lang w:val="sr-Latn-ME"/>
        </w:rPr>
        <w:t>U slučaju da podnosiocima prijava bude dodijeljen ugovor o grantu, njihovi povezani subjekti neće postati korisnici sredstava u okviru akcije niti potpisnici ugovora o grantu. Međutim, oni će učestvovati u osmišljavanju i sprovođenju akcije, a troškovi koje imaju (uključujući troškove nastale u vezi sa ugovorima o sprovođenju, finansijskom podrškom trećim licima i podugovaranjem) mogu se smatrati prihvatljivim troškovima, pod uslovom da su u skladu sa svim relevantnim pravilima koja se već primjenjuju na korisnika(e) u okviru ugovora o grantu.</w:t>
      </w:r>
    </w:p>
    <w:p w14:paraId="15FBBD60" w14:textId="77777777" w:rsidR="00772254" w:rsidRPr="007546E5" w:rsidRDefault="00772254" w:rsidP="00772254">
      <w:pPr>
        <w:pStyle w:val="NormalWeb"/>
        <w:jc w:val="both"/>
        <w:rPr>
          <w:sz w:val="22"/>
          <w:szCs w:val="22"/>
          <w:lang w:val="sr-Latn-ME"/>
        </w:rPr>
      </w:pPr>
      <w:r w:rsidRPr="007546E5">
        <w:rPr>
          <w:sz w:val="22"/>
          <w:szCs w:val="22"/>
          <w:lang w:val="sr-Latn-ME"/>
        </w:rPr>
        <w:t>Povezani subjekti moraju ispunjavati iste kriterijume prihvatljivosti kao i vodeći podnosilac prijave i su-podnosilac(ci) prijave. Oni moraju potpisati izjavu o povezanom subjektu u Aneksu A.2, odjeljak 5.</w:t>
      </w:r>
    </w:p>
    <w:p w14:paraId="7C91AD53" w14:textId="77777777" w:rsidR="00244518" w:rsidRPr="007546E5" w:rsidRDefault="00244518" w:rsidP="00244518">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2.1.2. Saradnici, izvođači i korisnici finansijske podrške</w:t>
      </w:r>
    </w:p>
    <w:p w14:paraId="288214D7" w14:textId="7E768140" w:rsidR="00244518" w:rsidRPr="007546E5" w:rsidRDefault="00244518" w:rsidP="00244518">
      <w:pPr>
        <w:pStyle w:val="NormalWeb"/>
        <w:jc w:val="both"/>
        <w:rPr>
          <w:sz w:val="22"/>
          <w:szCs w:val="22"/>
          <w:lang w:val="sr-Latn-ME"/>
        </w:rPr>
      </w:pPr>
      <w:r w:rsidRPr="007546E5">
        <w:rPr>
          <w:sz w:val="22"/>
          <w:szCs w:val="22"/>
          <w:lang w:val="sr-Latn-ME"/>
        </w:rPr>
        <w:t>Sljedeći subjekti nijesu podnosioci prijava</w:t>
      </w:r>
      <w:r w:rsidR="00C73FE8">
        <w:rPr>
          <w:sz w:val="22"/>
          <w:szCs w:val="22"/>
          <w:lang w:val="sr-Latn-ME"/>
        </w:rPr>
        <w:t>,</w:t>
      </w:r>
      <w:r w:rsidRPr="007546E5">
        <w:rPr>
          <w:sz w:val="22"/>
          <w:szCs w:val="22"/>
          <w:lang w:val="sr-Latn-ME"/>
        </w:rPr>
        <w:t xml:space="preserve"> niti povezani subjekti</w:t>
      </w:r>
      <w:r w:rsidR="00C73FE8">
        <w:rPr>
          <w:sz w:val="22"/>
          <w:szCs w:val="22"/>
          <w:lang w:val="sr-Latn-ME"/>
        </w:rPr>
        <w:t>,</w:t>
      </w:r>
      <w:r w:rsidRPr="007546E5">
        <w:rPr>
          <w:sz w:val="22"/>
          <w:szCs w:val="22"/>
          <w:lang w:val="sr-Latn-ME"/>
        </w:rPr>
        <w:t xml:space="preserve"> i ne moraju potpisati „mandat za su-podnosioca(e) prijave“ niti „izjavu povezanog subjekta“:</w:t>
      </w:r>
    </w:p>
    <w:p w14:paraId="216635E1" w14:textId="1056CE7B" w:rsidR="00244518" w:rsidRPr="007546E5" w:rsidRDefault="00244518" w:rsidP="00661F9D">
      <w:pPr>
        <w:pStyle w:val="NormalWeb"/>
        <w:numPr>
          <w:ilvl w:val="0"/>
          <w:numId w:val="26"/>
        </w:numPr>
        <w:jc w:val="both"/>
        <w:rPr>
          <w:b/>
          <w:sz w:val="22"/>
          <w:szCs w:val="22"/>
          <w:lang w:val="sr-Latn-ME"/>
        </w:rPr>
      </w:pPr>
      <w:r w:rsidRPr="007546E5">
        <w:rPr>
          <w:rStyle w:val="Strong"/>
          <w:b w:val="0"/>
          <w:sz w:val="22"/>
          <w:szCs w:val="22"/>
          <w:lang w:val="sr-Latn-ME"/>
        </w:rPr>
        <w:t>Saradnici</w:t>
      </w:r>
    </w:p>
    <w:p w14:paraId="1876A8AE" w14:textId="5FF52C97" w:rsidR="00244518" w:rsidRPr="007546E5" w:rsidRDefault="00244518" w:rsidP="00244518">
      <w:pPr>
        <w:pStyle w:val="NormalWeb"/>
        <w:jc w:val="both"/>
        <w:rPr>
          <w:sz w:val="22"/>
          <w:szCs w:val="22"/>
          <w:lang w:val="sr-Latn-ME"/>
        </w:rPr>
      </w:pPr>
      <w:r w:rsidRPr="007546E5">
        <w:rPr>
          <w:sz w:val="22"/>
          <w:szCs w:val="22"/>
          <w:lang w:val="sr-Latn-ME"/>
        </w:rPr>
        <w:t>Druge organizacije ili pojedinci mogu biti uključeni u akciju. Takvi saradnici imaju stvarnu ulogu u akciji, ali ne mogu primati finansijska sredstva iz granta, osim dnevnica ili troškova putovanja. Saradnici ne moraju ispunjavati kriterijume prihvatljivosti navedene u odjeljku 2.1.1. Saradnici moraju biti navedeni u Aneksu A.2, odjeljak 4 — „Saradnici koji učestvuju u akciji“.</w:t>
      </w:r>
    </w:p>
    <w:p w14:paraId="1B31E28C" w14:textId="56EB7AA1" w:rsidR="00244518" w:rsidRPr="007546E5" w:rsidRDefault="00244518" w:rsidP="00661F9D">
      <w:pPr>
        <w:pStyle w:val="NormalWeb"/>
        <w:numPr>
          <w:ilvl w:val="0"/>
          <w:numId w:val="26"/>
        </w:numPr>
        <w:jc w:val="both"/>
        <w:rPr>
          <w:b/>
          <w:sz w:val="22"/>
          <w:szCs w:val="22"/>
          <w:lang w:val="sr-Latn-ME"/>
        </w:rPr>
      </w:pPr>
      <w:r w:rsidRPr="007546E5">
        <w:rPr>
          <w:rStyle w:val="Strong"/>
          <w:b w:val="0"/>
          <w:sz w:val="22"/>
          <w:szCs w:val="22"/>
          <w:lang w:val="sr-Latn-ME"/>
        </w:rPr>
        <w:t>Izvođači</w:t>
      </w:r>
    </w:p>
    <w:p w14:paraId="41BB6216" w14:textId="67FA1E25" w:rsidR="00244518" w:rsidRPr="007546E5" w:rsidRDefault="00244518" w:rsidP="00244518">
      <w:pPr>
        <w:pStyle w:val="NormalWeb"/>
        <w:jc w:val="both"/>
        <w:rPr>
          <w:sz w:val="22"/>
          <w:szCs w:val="22"/>
          <w:lang w:val="sr-Latn-ME"/>
        </w:rPr>
      </w:pPr>
      <w:r w:rsidRPr="007546E5">
        <w:rPr>
          <w:sz w:val="22"/>
          <w:szCs w:val="22"/>
          <w:lang w:val="sr-Latn-ME"/>
        </w:rPr>
        <w:t>Korisnicima sredstava i njihovim povezanim subjektima dozvoljeno je da dodjeljuju ugovore (podugovaranje ili ugovori o sprovođenju). Korisnici sredstava, povezani subjekti, korisnici finansijske podrške ili saradnici ne mogu istovremeno biti i izvođači u projektu. Izvođači podliježu pravilima javnih nabavki utvrđenim u Aneksu IV standardnog ugovora o grantu.</w:t>
      </w:r>
    </w:p>
    <w:p w14:paraId="4CAECAC5" w14:textId="28E8FA2C" w:rsidR="00244518" w:rsidRPr="007546E5" w:rsidRDefault="00244518" w:rsidP="00661F9D">
      <w:pPr>
        <w:pStyle w:val="NormalWeb"/>
        <w:numPr>
          <w:ilvl w:val="0"/>
          <w:numId w:val="26"/>
        </w:numPr>
        <w:jc w:val="both"/>
        <w:rPr>
          <w:b/>
          <w:sz w:val="22"/>
          <w:szCs w:val="22"/>
          <w:lang w:val="sr-Latn-ME"/>
        </w:rPr>
      </w:pPr>
      <w:r w:rsidRPr="007546E5">
        <w:rPr>
          <w:rStyle w:val="Strong"/>
          <w:b w:val="0"/>
          <w:sz w:val="22"/>
          <w:szCs w:val="22"/>
          <w:lang w:val="sr-Latn-ME"/>
        </w:rPr>
        <w:t>Korisnici finansijske podrške</w:t>
      </w:r>
    </w:p>
    <w:p w14:paraId="3BBCD026" w14:textId="754604C2" w:rsidR="00244518" w:rsidRPr="007546E5" w:rsidRDefault="00244518" w:rsidP="00244518">
      <w:pPr>
        <w:pStyle w:val="NormalWeb"/>
        <w:jc w:val="both"/>
        <w:rPr>
          <w:sz w:val="22"/>
          <w:szCs w:val="22"/>
          <w:lang w:val="sr-Latn-ME"/>
        </w:rPr>
      </w:pPr>
      <w:r w:rsidRPr="007546E5">
        <w:rPr>
          <w:sz w:val="22"/>
          <w:szCs w:val="22"/>
          <w:lang w:val="sr-Latn-ME"/>
        </w:rPr>
        <w:t xml:space="preserve">Ukoliko je to dozvoljeno ovim pozivom za dostavljanje </w:t>
      </w:r>
      <w:r w:rsidR="002832D2" w:rsidRPr="007546E5">
        <w:rPr>
          <w:sz w:val="22"/>
          <w:szCs w:val="22"/>
          <w:lang w:val="sr-Latn-ME"/>
        </w:rPr>
        <w:t>prijedlog</w:t>
      </w:r>
      <w:r w:rsidRPr="007546E5">
        <w:rPr>
          <w:sz w:val="22"/>
          <w:szCs w:val="22"/>
          <w:lang w:val="sr-Latn-ME"/>
        </w:rPr>
        <w:t>a projekata, i pod uslovima utvrđenim u ovom dokumentu i ugovoru o grantu, korisnici sredstava i njihovi povezani subjekti mogu dodjeljivati finansijsku podršku drugim trećim licima. Ta treća lica nijesu ni korisnici sredstava, ni povezani subjekti, ni saradnici, niti izvođači.</w:t>
      </w:r>
    </w:p>
    <w:tbl>
      <w:tblPr>
        <w:tblStyle w:val="TableGrid"/>
        <w:tblW w:w="0" w:type="auto"/>
        <w:tblLook w:val="04A0" w:firstRow="1" w:lastRow="0" w:firstColumn="1" w:lastColumn="0" w:noHBand="0" w:noVBand="1"/>
      </w:tblPr>
      <w:tblGrid>
        <w:gridCol w:w="9016"/>
      </w:tblGrid>
      <w:tr w:rsidR="00244518" w:rsidRPr="007546E5" w14:paraId="4C7C7A26" w14:textId="77777777" w:rsidTr="00244518">
        <w:tc>
          <w:tcPr>
            <w:tcW w:w="9016" w:type="dxa"/>
            <w:shd w:val="clear" w:color="auto" w:fill="F2F2F2" w:themeFill="background1" w:themeFillShade="F2"/>
          </w:tcPr>
          <w:p w14:paraId="6628F644" w14:textId="3BE67DF7" w:rsidR="00244518" w:rsidRPr="007546E5" w:rsidRDefault="00244518" w:rsidP="00244518">
            <w:pPr>
              <w:pStyle w:val="NormalWeb"/>
              <w:jc w:val="both"/>
              <w:rPr>
                <w:sz w:val="22"/>
                <w:szCs w:val="22"/>
                <w:lang w:val="sr-Latn-ME"/>
              </w:rPr>
            </w:pPr>
            <w:r w:rsidRPr="007546E5">
              <w:rPr>
                <w:sz w:val="22"/>
                <w:szCs w:val="22"/>
                <w:lang w:val="sr-Latn-ME"/>
              </w:rPr>
              <w:t>Svaki akter treba da učestvuje u akciji samo u jednoj ulozi. Time se izbjegavaju potencijalni sukobi interesa i obezbjeđuje jasno razgraničenje prava i obaveza, kao i sigurnost u pogledu prihvatljivosti troškova.</w:t>
            </w:r>
          </w:p>
        </w:tc>
      </w:tr>
    </w:tbl>
    <w:p w14:paraId="4CE073ED" w14:textId="77777777" w:rsidR="00080D2A" w:rsidRDefault="00080D2A" w:rsidP="00244518">
      <w:pPr>
        <w:pStyle w:val="Heading3"/>
        <w:rPr>
          <w:rStyle w:val="Strong"/>
          <w:rFonts w:ascii="Times New Roman" w:hAnsi="Times New Roman" w:cs="Times New Roman"/>
          <w:bCs w:val="0"/>
          <w:color w:val="auto"/>
          <w:sz w:val="22"/>
          <w:szCs w:val="22"/>
        </w:rPr>
      </w:pPr>
    </w:p>
    <w:p w14:paraId="111F31FF" w14:textId="44E629DA" w:rsidR="00244518" w:rsidRPr="007546E5" w:rsidRDefault="00244518" w:rsidP="00244518">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2.1.3. Prihvatljive akcije: akcije za koje se može podnijeti prijava</w:t>
      </w:r>
    </w:p>
    <w:p w14:paraId="12D146E4" w14:textId="409F2EEB" w:rsidR="00244518" w:rsidRPr="007546E5" w:rsidRDefault="00244518" w:rsidP="00244518">
      <w:pPr>
        <w:pStyle w:val="NormalWeb"/>
        <w:jc w:val="both"/>
        <w:rPr>
          <w:sz w:val="22"/>
          <w:szCs w:val="22"/>
          <w:lang w:val="sr-Latn-ME"/>
        </w:rPr>
      </w:pPr>
      <w:r w:rsidRPr="007546E5">
        <w:rPr>
          <w:rStyle w:val="Strong"/>
          <w:sz w:val="22"/>
          <w:szCs w:val="22"/>
          <w:lang w:val="sr-Latn-ME"/>
        </w:rPr>
        <w:t>Definicija:</w:t>
      </w:r>
      <w:r w:rsidRPr="007546E5">
        <w:rPr>
          <w:sz w:val="22"/>
          <w:szCs w:val="22"/>
          <w:lang w:val="sr-Latn-ME"/>
        </w:rPr>
        <w:br/>
        <w:t>Akcija se sastoji od skupa aktivnosti.</w:t>
      </w:r>
    </w:p>
    <w:p w14:paraId="734A4466" w14:textId="4B9B30FC" w:rsidR="00244518" w:rsidRPr="007546E5" w:rsidRDefault="00244518" w:rsidP="00244518">
      <w:pPr>
        <w:pStyle w:val="NormalWeb"/>
        <w:jc w:val="both"/>
        <w:rPr>
          <w:sz w:val="22"/>
          <w:szCs w:val="22"/>
          <w:lang w:val="sr-Latn-ME"/>
        </w:rPr>
      </w:pPr>
      <w:r w:rsidRPr="007546E5">
        <w:rPr>
          <w:rStyle w:val="Strong"/>
          <w:sz w:val="22"/>
          <w:szCs w:val="22"/>
          <w:lang w:val="sr-Latn-ME"/>
        </w:rPr>
        <w:t>Trajanje</w:t>
      </w:r>
      <w:r w:rsidRPr="007546E5">
        <w:rPr>
          <w:sz w:val="22"/>
          <w:szCs w:val="22"/>
          <w:lang w:val="sr-Latn-ME"/>
        </w:rPr>
        <w:br/>
        <w:t xml:space="preserve">Početno planirano trajanje akcije </w:t>
      </w:r>
      <w:r w:rsidRPr="000969F3">
        <w:rPr>
          <w:b/>
          <w:sz w:val="22"/>
          <w:szCs w:val="22"/>
          <w:lang w:val="sr-Latn-ME"/>
        </w:rPr>
        <w:t>ne može biti kraće od 36 mjeseci niti duže od 40 mjeseci</w:t>
      </w:r>
      <w:r w:rsidRPr="007546E5">
        <w:rPr>
          <w:sz w:val="22"/>
          <w:szCs w:val="22"/>
          <w:lang w:val="sr-Latn-ME"/>
        </w:rPr>
        <w:t>.</w:t>
      </w:r>
    </w:p>
    <w:p w14:paraId="3B18BCE3" w14:textId="095CFBC1" w:rsidR="00244518" w:rsidRPr="007546E5" w:rsidRDefault="00244518" w:rsidP="00244518">
      <w:pPr>
        <w:pStyle w:val="NormalWeb"/>
        <w:jc w:val="both"/>
        <w:rPr>
          <w:sz w:val="22"/>
          <w:szCs w:val="22"/>
          <w:lang w:val="sr-Latn-ME"/>
        </w:rPr>
      </w:pPr>
      <w:r w:rsidRPr="007546E5">
        <w:rPr>
          <w:rStyle w:val="Strong"/>
          <w:sz w:val="22"/>
          <w:szCs w:val="22"/>
          <w:lang w:val="sr-Latn-ME"/>
        </w:rPr>
        <w:t>Sektori ili teme</w:t>
      </w:r>
      <w:r w:rsidRPr="007546E5">
        <w:rPr>
          <w:rStyle w:val="Strong"/>
          <w:sz w:val="22"/>
          <w:szCs w:val="22"/>
          <w:lang w:val="sr-Latn-ME"/>
        </w:rPr>
        <w:tab/>
      </w:r>
      <w:r w:rsidRPr="007546E5">
        <w:rPr>
          <w:sz w:val="22"/>
          <w:szCs w:val="22"/>
          <w:lang w:val="sr-Latn-ME"/>
        </w:rPr>
        <w:br/>
        <w:t>Akcije moraju odgovarati ciljevima i prioritetima opisanim u odjeljku 1.2 ovih Smjernica.</w:t>
      </w:r>
    </w:p>
    <w:p w14:paraId="5B0ED4BF" w14:textId="7AF7DBD6" w:rsidR="00244518" w:rsidRPr="007546E5" w:rsidRDefault="00244518" w:rsidP="00244518">
      <w:pPr>
        <w:pStyle w:val="NormalWeb"/>
        <w:jc w:val="both"/>
        <w:rPr>
          <w:sz w:val="22"/>
          <w:szCs w:val="22"/>
          <w:lang w:val="sr-Latn-ME"/>
        </w:rPr>
      </w:pPr>
      <w:r w:rsidRPr="007546E5">
        <w:rPr>
          <w:rStyle w:val="Strong"/>
          <w:sz w:val="22"/>
          <w:szCs w:val="22"/>
          <w:lang w:val="sr-Latn-ME"/>
        </w:rPr>
        <w:t>Lokacija</w:t>
      </w:r>
      <w:r w:rsidRPr="007546E5">
        <w:rPr>
          <w:sz w:val="22"/>
          <w:szCs w:val="22"/>
          <w:lang w:val="sr-Latn-ME"/>
        </w:rPr>
        <w:br/>
        <w:t>Akcije se moraju sprovoditi u Crnoj Gori.</w:t>
      </w:r>
    </w:p>
    <w:p w14:paraId="6304822B" w14:textId="77777777" w:rsidR="00244518" w:rsidRPr="007546E5" w:rsidRDefault="00244518" w:rsidP="00244518">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Vrste akcija (isključivo indikativno):</w:t>
      </w:r>
    </w:p>
    <w:p w14:paraId="3F02A335" w14:textId="77777777" w:rsidR="00244518" w:rsidRPr="007546E5" w:rsidRDefault="00244518" w:rsidP="00244518">
      <w:pPr>
        <w:pStyle w:val="Heading4"/>
        <w:jc w:val="both"/>
        <w:rPr>
          <w:rFonts w:ascii="Times New Roman" w:hAnsi="Times New Roman" w:cs="Times New Roman"/>
          <w:i w:val="0"/>
          <w:color w:val="auto"/>
        </w:rPr>
      </w:pPr>
      <w:r w:rsidRPr="007546E5">
        <w:rPr>
          <w:rStyle w:val="Strong"/>
          <w:rFonts w:ascii="Times New Roman" w:hAnsi="Times New Roman" w:cs="Times New Roman"/>
          <w:bCs w:val="0"/>
          <w:i w:val="0"/>
          <w:color w:val="auto"/>
        </w:rPr>
        <w:t>Lot 1: Prevencija i borba protiv diskriminacije i govora mržnje:</w:t>
      </w:r>
    </w:p>
    <w:p w14:paraId="633BFE32" w14:textId="451AF645"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akcije koje podržavaju aktivizam, za</w:t>
      </w:r>
      <w:r w:rsidR="001329EB">
        <w:rPr>
          <w:rFonts w:ascii="Times New Roman" w:hAnsi="Times New Roman" w:cs="Times New Roman"/>
        </w:rPr>
        <w:t>stupanje</w:t>
      </w:r>
      <w:r w:rsidRPr="007546E5">
        <w:rPr>
          <w:rFonts w:ascii="Times New Roman" w:hAnsi="Times New Roman" w:cs="Times New Roman"/>
        </w:rPr>
        <w:t xml:space="preserve">, obrazovanje, podizanje svijesti i kampanje u oblasti prevencije i borbe protiv diskriminacije i govora mržnje, posebno prema ranjivim grupama, kao što su osobe sa invaliditetom, Romi, LGBTIQ osobe i dr.; </w:t>
      </w:r>
    </w:p>
    <w:p w14:paraId="0F93AB1E" w14:textId="77777777"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usmjerene na smanjenje etničke distance, promociju pozitivnih narativa u društvu i sl.; </w:t>
      </w:r>
    </w:p>
    <w:p w14:paraId="2F186768" w14:textId="77777777"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podržavaju umrežavanje i saradnju, uključujući strukturirani dijalog, između organizacija civilnog društva, medija, državnih institucija i privatnog sektora; </w:t>
      </w:r>
    </w:p>
    <w:p w14:paraId="5643BB86" w14:textId="77777777"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promovišu pružanje i pristup uslugama (socijalnim, psihološkim i dr.) relevantnim za žrtve diskriminacije i govora mržnje, posebno ranjivih grupa kako je gore navedeno; </w:t>
      </w:r>
    </w:p>
    <w:p w14:paraId="7F7DED1A" w14:textId="77777777"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pružanje pravne pomoći i savjetovanja ili podrške žrtvama diskriminacije i govora mržnje, uključujući putem interneta; </w:t>
      </w:r>
    </w:p>
    <w:p w14:paraId="1CFDEE17" w14:textId="77777777"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jačanje kapaciteta organizacija civilnog društva i relevantnih aktera, kao što su obuke i aktivnosti umrežavanja radi unapređenja angažmana civilnog društva u borbi protiv diskriminacije i govora mržnje, u skladu sa evropskim standardima i važećim Krivičnim zakonikom i Zakonom o zabrani diskriminacije u Crnoj Gori; </w:t>
      </w:r>
    </w:p>
    <w:p w14:paraId="54A3B4B5" w14:textId="77777777"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projekti umjetničkog i kulturnog izraza koji slave različitost i promovišu ljudska prava; </w:t>
      </w:r>
    </w:p>
    <w:p w14:paraId="2758611E" w14:textId="77777777"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omogućavaju strukturiranu saradnju između organizacija civilnog društva i relevantnih državnih institucija u cilju unapređenja zaštitnih mehanizama protiv diskriminacije i govora mržnje, uključujući i u online prostoru; </w:t>
      </w:r>
    </w:p>
    <w:p w14:paraId="04927BD1" w14:textId="77777777" w:rsidR="00244518" w:rsidRPr="007546E5" w:rsidRDefault="00244518" w:rsidP="00244518">
      <w:pPr>
        <w:numPr>
          <w:ilvl w:val="0"/>
          <w:numId w:val="11"/>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obrazovne aktivnosti koje promovišu poštovanje različitosti, interkulturalno učenje i vrijednosti solidarnosti i ljudskih prava.</w:t>
      </w:r>
    </w:p>
    <w:p w14:paraId="74FBA2DA" w14:textId="77777777" w:rsidR="00244518" w:rsidRPr="007546E5" w:rsidRDefault="00244518" w:rsidP="00244518">
      <w:pPr>
        <w:pStyle w:val="Heading4"/>
        <w:rPr>
          <w:rFonts w:ascii="Times New Roman" w:hAnsi="Times New Roman" w:cs="Times New Roman"/>
          <w:i w:val="0"/>
          <w:color w:val="auto"/>
        </w:rPr>
      </w:pPr>
      <w:r w:rsidRPr="007546E5">
        <w:rPr>
          <w:rStyle w:val="Strong"/>
          <w:rFonts w:ascii="Times New Roman" w:hAnsi="Times New Roman" w:cs="Times New Roman"/>
          <w:bCs w:val="0"/>
          <w:i w:val="0"/>
          <w:color w:val="auto"/>
        </w:rPr>
        <w:t>Lot 2: Zaštita i unapređenje socijalnih, ekonomskih i kulturnih prava ranjivih grupa:</w:t>
      </w:r>
    </w:p>
    <w:p w14:paraId="74A37523" w14:textId="77777777" w:rsidR="00244518" w:rsidRPr="007546E5" w:rsidRDefault="00244518" w:rsidP="00244518">
      <w:pPr>
        <w:numPr>
          <w:ilvl w:val="0"/>
          <w:numId w:val="12"/>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podrška pristupu javnim uslugama (zapošljavanje, zdravstvo, obrazovanje i dr.) za ranjive, marginalizovane, izložene ili diskriminisane grupe (npr. osobe sa invaliditetom, Romi, LGBTIQ osobe, manjine); </w:t>
      </w:r>
    </w:p>
    <w:p w14:paraId="3DD1A7F1" w14:textId="77777777" w:rsidR="00244518" w:rsidRPr="007546E5" w:rsidRDefault="00244518" w:rsidP="00244518">
      <w:pPr>
        <w:numPr>
          <w:ilvl w:val="0"/>
          <w:numId w:val="12"/>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podsticanje razvoja kompetencija i vještina kroz neformalno učenje; digitalna pismenost, stručno obrazovanje i kritičko mišljenje, u saradnji i partnerstvu sa Zavodom za zapošljavanje i njegovim lokalnim kancelarijama; </w:t>
      </w:r>
    </w:p>
    <w:p w14:paraId="2F249581" w14:textId="77777777" w:rsidR="00244518" w:rsidRPr="007546E5" w:rsidRDefault="00244518" w:rsidP="00244518">
      <w:pPr>
        <w:numPr>
          <w:ilvl w:val="0"/>
          <w:numId w:val="12"/>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uspostavljanje partnerstava između lokalnih/regionalnih javnih institucija i organizacija civilnog društva u cilju razvoja prilagođenih mjera zapošljavanja za ugrožene grupe; </w:t>
      </w:r>
    </w:p>
    <w:p w14:paraId="29883E3F" w14:textId="77777777" w:rsidR="00244518" w:rsidRPr="007546E5" w:rsidRDefault="00244518" w:rsidP="00244518">
      <w:pPr>
        <w:numPr>
          <w:ilvl w:val="0"/>
          <w:numId w:val="12"/>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stvaranje mogućnosti za samozapošljavanje ranjivih, marginalizovanih, izloženih ili diskriminisanih grupa; </w:t>
      </w:r>
    </w:p>
    <w:p w14:paraId="6AC8BC31" w14:textId="77777777" w:rsidR="00244518" w:rsidRPr="007546E5" w:rsidRDefault="00244518" w:rsidP="00244518">
      <w:pPr>
        <w:numPr>
          <w:ilvl w:val="0"/>
          <w:numId w:val="12"/>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lastRenderedPageBreak/>
        <w:t xml:space="preserve">podrška nacionalnim i lokalnim institucijama i akterima u zaštiti i unapređenju socijalnih, ekonomskih i kulturnih prava najranjivijih, marginalizovanih, izloženih ili diskriminisanih grupa; </w:t>
      </w:r>
    </w:p>
    <w:p w14:paraId="45026ADF" w14:textId="52C13063" w:rsidR="00244518" w:rsidRPr="007546E5" w:rsidRDefault="00244518" w:rsidP="00244518">
      <w:pPr>
        <w:numPr>
          <w:ilvl w:val="0"/>
          <w:numId w:val="12"/>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unapređenje uključivanja u sve aspekte društvenog života osoba koje pripadaju manjinama i/ili se nalaze u marginalizovanom položaju, kao što su osobe koje pripadaju etničkim ili seksualnim manjinama; osobe marginalizovane zbog siromaštva i/ili nedostatka obrazovnih mogućnosti; osobe u ranjivim situacijama; žrtve društvene diskriminacije; migranti i izbjeglice. </w:t>
      </w:r>
    </w:p>
    <w:p w14:paraId="08CAC7AE" w14:textId="77777777" w:rsidR="00244518" w:rsidRPr="007546E5" w:rsidRDefault="00244518" w:rsidP="00244518">
      <w:pPr>
        <w:pStyle w:val="Heading3"/>
        <w:rPr>
          <w:rFonts w:ascii="Times New Roman" w:hAnsi="Times New Roman" w:cs="Times New Roman"/>
          <w:color w:val="auto"/>
          <w:sz w:val="22"/>
          <w:szCs w:val="22"/>
        </w:rPr>
      </w:pPr>
      <w:r w:rsidRPr="007546E5">
        <w:rPr>
          <w:rStyle w:val="Strong"/>
          <w:rFonts w:ascii="Times New Roman" w:hAnsi="Times New Roman" w:cs="Times New Roman"/>
          <w:b w:val="0"/>
          <w:bCs w:val="0"/>
          <w:color w:val="auto"/>
          <w:sz w:val="22"/>
          <w:szCs w:val="22"/>
        </w:rPr>
        <w:t>Sljedeće vrste akcija nijesu prihvatljive:</w:t>
      </w:r>
    </w:p>
    <w:p w14:paraId="665B0971"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se odnose isključivo ili pretežno na pojedinačno finansiranje učešća na radionicama, seminarima, konferencijama i kongresima; </w:t>
      </w:r>
    </w:p>
    <w:p w14:paraId="4D862CD6"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se odnose isključivo ili pretežno na pojedinačne stipendije za studije ili obuke; </w:t>
      </w:r>
    </w:p>
    <w:p w14:paraId="2F72E017" w14:textId="57591BC4"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akcije i mjere koje mogu dovesti do kršenja ljudskih prava u partnerskim zemljama ili izazvati značajne negativne uticaje na životnu sredinu ili klimu</w:t>
      </w:r>
      <w:r w:rsidR="00712DA1" w:rsidRPr="007546E5">
        <w:rPr>
          <w:rStyle w:val="FootnoteReference"/>
          <w:rFonts w:ascii="Times New Roman" w:hAnsi="Times New Roman" w:cs="Times New Roman"/>
        </w:rPr>
        <w:footnoteReference w:id="13"/>
      </w:r>
      <w:r w:rsidRPr="007546E5">
        <w:rPr>
          <w:rFonts w:ascii="Times New Roman" w:hAnsi="Times New Roman" w:cs="Times New Roman"/>
        </w:rPr>
        <w:t xml:space="preserve">; </w:t>
      </w:r>
    </w:p>
    <w:p w14:paraId="650B9DBB"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infrastrukturni projekti ili projekti koji su suštinski usmjereni na nabavku opreme; </w:t>
      </w:r>
    </w:p>
    <w:p w14:paraId="09AF04CD"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kupovina i/ili renoviranje zgrada ili kancelarija; </w:t>
      </w:r>
    </w:p>
    <w:p w14:paraId="1A57D53C"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aktivnosti sprovedene prije potpisivanja ugovora; </w:t>
      </w:r>
    </w:p>
    <w:p w14:paraId="369C3172"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usmjerene na ostvarivanje profita; </w:t>
      </w:r>
    </w:p>
    <w:p w14:paraId="2121A34E"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se odnose na dobrotvorne donacije; </w:t>
      </w:r>
    </w:p>
    <w:p w14:paraId="2282A65A"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su već finansirane iz drugih programa Zajednice; </w:t>
      </w:r>
    </w:p>
    <w:p w14:paraId="09349B52"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diskriminišu pojedince ili grupe na osnovu pola, seksualne orijentacije, vjerskih uvjerenja ili njihovog odsustva, ili etničkog porijekla; </w:t>
      </w:r>
    </w:p>
    <w:p w14:paraId="42375D59" w14:textId="77777777"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akcije koje podržavaju pojedinačne političke partije; </w:t>
      </w:r>
    </w:p>
    <w:p w14:paraId="1B64F292" w14:textId="2410E381" w:rsidR="00244518" w:rsidRPr="007546E5" w:rsidRDefault="00244518" w:rsidP="00115C86">
      <w:pPr>
        <w:numPr>
          <w:ilvl w:val="0"/>
          <w:numId w:val="1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akcije usmjerene na podršku političkim aktivnostima ili političkim partijama.</w:t>
      </w:r>
    </w:p>
    <w:p w14:paraId="613158B2" w14:textId="77777777" w:rsidR="00971A4E" w:rsidRPr="007546E5" w:rsidRDefault="00971A4E" w:rsidP="00971A4E">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Vrste aktivnosti (isključivo indikativno):</w:t>
      </w:r>
    </w:p>
    <w:p w14:paraId="3D249FC6"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praćenje sprovođenja centralnih i lokalnih javnih politika, strategija, akcionih planova i indikatora; </w:t>
      </w:r>
    </w:p>
    <w:p w14:paraId="4112331D"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jačanje kapaciteta organizacija civilnog društva i drugih aktera aktivnih u oblasti ljudskih prava/demokratije, kao i branilaca ljudskih prava, za praćenje politika; </w:t>
      </w:r>
    </w:p>
    <w:p w14:paraId="723FC49C"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aktivnosti usmjerene na mobilizaciju i osnaživanje ranjivih grupa; </w:t>
      </w:r>
    </w:p>
    <w:p w14:paraId="13669627"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jačanje postojećih platformi, mreža ili koalicija civilnog društva, kampanja i saradnje po pitanjima relevantnim za ovaj poziv; </w:t>
      </w:r>
    </w:p>
    <w:p w14:paraId="619B04D9"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razmjena informacija, znanja i iskustava; </w:t>
      </w:r>
    </w:p>
    <w:p w14:paraId="1315D8E5"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organizacija obuka i sprovođenje programa obuke; </w:t>
      </w:r>
    </w:p>
    <w:p w14:paraId="482E776C"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organizacija diskusionih foruma radi unapređenja dijaloga i umrežavanja između civilnog društva i donosilaca odluka o pitanjima i prioritetima ovog poziva; </w:t>
      </w:r>
    </w:p>
    <w:p w14:paraId="39A846D9"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zagovaranje, lobiranje i razvoj strategija od strane organizacija civilnog društva u cilju promovisanja relevantnih pravnih reformi, uticaja na kreiranje politika ili suprotstavljanja ograničenjima koja država nameće organizacijama civilnog društva i drugim nedržavnim akterima; </w:t>
      </w:r>
    </w:p>
    <w:p w14:paraId="07B2B9CB"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pilot aktivnosti za testiranje i dokumentovanje rezultata novih pristupa radi unapređenja pristupa uslugama ili inovacija u pružanju usluga i drugih gore navedenih aktivnosti za ciljne grupe obuhvaćene ovim pozivom; </w:t>
      </w:r>
    </w:p>
    <w:p w14:paraId="6E8E54BE"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pružanje pravnog savjetovanja/pomoći; </w:t>
      </w:r>
    </w:p>
    <w:p w14:paraId="6555FF79"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facilitacija dijaloških procesa i aktivnosti medijacije (kao što su među-zajednički dijalozi); </w:t>
      </w:r>
    </w:p>
    <w:p w14:paraId="2F36A7F0"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dokumentovanje i izvještavanje o slučajevima kršenja ljudskih prava; </w:t>
      </w:r>
    </w:p>
    <w:p w14:paraId="5ED57A00"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praćenje i izvještavanje o sprovođenju međunarodnih instrumenata za ljudska prava koje je država ratifikovala, kao i sprovođenja politika u oblasti ljudskih prava na centralnom i lokalnom nivou, uključujući zagovaranje; </w:t>
      </w:r>
    </w:p>
    <w:p w14:paraId="3EB64DB5" w14:textId="0B7AF2AF"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lastRenderedPageBreak/>
        <w:t>podrška prikupljanju relevantnih informacija, uključujući statističke i istraživačke podatke, kako bi se</w:t>
      </w:r>
      <w:r w:rsidR="00356AD9" w:rsidRPr="00356AD9">
        <w:rPr>
          <w:rFonts w:ascii="Times New Roman" w:hAnsi="Times New Roman" w:cs="Times New Roman"/>
        </w:rPr>
        <w:t xml:space="preserve"> </w:t>
      </w:r>
      <w:r w:rsidR="00356AD9" w:rsidRPr="007546E5">
        <w:rPr>
          <w:rFonts w:ascii="Times New Roman" w:hAnsi="Times New Roman" w:cs="Times New Roman"/>
        </w:rPr>
        <w:t>vladama</w:t>
      </w:r>
      <w:r w:rsidRPr="007546E5">
        <w:rPr>
          <w:rFonts w:ascii="Times New Roman" w:hAnsi="Times New Roman" w:cs="Times New Roman"/>
        </w:rPr>
        <w:t xml:space="preserve"> omogućilo da kreiraju i sprovode politike; </w:t>
      </w:r>
    </w:p>
    <w:p w14:paraId="72CFEE52"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kampanje podizanja svijesti i komunikacione kampanje radi informisanja o specifičnim pitanjima demokratije i ljudskih prava; </w:t>
      </w:r>
    </w:p>
    <w:p w14:paraId="2DF6AA43"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promocija inkluzivnih i strateških partnerstava, umrežavanja i saradnje sa organizacijama civilnog društva i drugim relevantnim akterima, kao i među OCD u regionu i EU; </w:t>
      </w:r>
    </w:p>
    <w:p w14:paraId="6AEEAA86" w14:textId="77777777" w:rsidR="00971A4E" w:rsidRPr="007546E5" w:rsidRDefault="00971A4E" w:rsidP="00115C86">
      <w:pPr>
        <w:numPr>
          <w:ilvl w:val="0"/>
          <w:numId w:val="1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unapređenje kontakta i saradnje između građanskih i političkih aktera, uključujući podsticanje mehanizama strukturiranog dijaloga; </w:t>
      </w:r>
    </w:p>
    <w:p w14:paraId="326FD9A3" w14:textId="77777777" w:rsidR="00971A4E" w:rsidRPr="007546E5" w:rsidRDefault="00971A4E" w:rsidP="00971A4E">
      <w:pPr>
        <w:numPr>
          <w:ilvl w:val="0"/>
          <w:numId w:val="14"/>
        </w:numPr>
        <w:spacing w:before="100" w:beforeAutospacing="1" w:after="100" w:afterAutospacing="1" w:line="240" w:lineRule="auto"/>
        <w:rPr>
          <w:rFonts w:ascii="Times New Roman" w:hAnsi="Times New Roman" w:cs="Times New Roman"/>
        </w:rPr>
      </w:pPr>
      <w:r w:rsidRPr="007546E5">
        <w:rPr>
          <w:rFonts w:ascii="Times New Roman" w:hAnsi="Times New Roman" w:cs="Times New Roman"/>
        </w:rPr>
        <w:t xml:space="preserve">podizanje svijesti o temama ovog poziva; </w:t>
      </w:r>
    </w:p>
    <w:p w14:paraId="3DDE9642" w14:textId="06BCE118" w:rsidR="00971A4E" w:rsidRPr="007546E5" w:rsidRDefault="00E2477F" w:rsidP="00971A4E">
      <w:pPr>
        <w:numPr>
          <w:ilvl w:val="0"/>
          <w:numId w:val="14"/>
        </w:numPr>
        <w:spacing w:before="100" w:beforeAutospacing="1" w:after="100" w:afterAutospacing="1" w:line="240" w:lineRule="auto"/>
        <w:jc w:val="both"/>
        <w:rPr>
          <w:rFonts w:ascii="Times New Roman" w:hAnsi="Times New Roman" w:cs="Times New Roman"/>
        </w:rPr>
      </w:pPr>
      <w:r w:rsidRPr="007546E5">
        <w:rPr>
          <w:rStyle w:val="Strong"/>
          <w:rFonts w:ascii="Times New Roman" w:hAnsi="Times New Roman" w:cs="Times New Roman"/>
          <w:b w:val="0"/>
        </w:rPr>
        <w:t>a</w:t>
      </w:r>
      <w:r w:rsidR="00971A4E" w:rsidRPr="007546E5">
        <w:rPr>
          <w:rStyle w:val="Strong"/>
          <w:rFonts w:ascii="Times New Roman" w:hAnsi="Times New Roman" w:cs="Times New Roman"/>
          <w:b w:val="0"/>
        </w:rPr>
        <w:t>ktivnosti vidljivosti:</w:t>
      </w:r>
      <w:r w:rsidR="00971A4E" w:rsidRPr="007546E5">
        <w:rPr>
          <w:rFonts w:ascii="Times New Roman" w:hAnsi="Times New Roman" w:cs="Times New Roman"/>
        </w:rPr>
        <w:t xml:space="preserve"> Svi podnosioci prijava treba da uključe strateški plan komunikacije i vidljivosti</w:t>
      </w:r>
      <w:r w:rsidR="00356AD9">
        <w:rPr>
          <w:rFonts w:ascii="Times New Roman" w:hAnsi="Times New Roman" w:cs="Times New Roman"/>
        </w:rPr>
        <w:t>,</w:t>
      </w:r>
      <w:r w:rsidR="00971A4E" w:rsidRPr="007546E5">
        <w:rPr>
          <w:rFonts w:ascii="Times New Roman" w:hAnsi="Times New Roman" w:cs="Times New Roman"/>
        </w:rPr>
        <w:t xml:space="preserve"> kako u kompletnoj prijavi, tako i u budžetu, u skladu sa Priručnikom za komunikaciju i vidljivost za spoljne akcije Evropske unije. Podnosioci prijava mogu planirati neke od aktivnosti vidljivosti iz sljedeće, neiscrpne liste: objavljivanje i distribucija promotivnog materijala, distribucija javnih obavještenja o projektnim aktivnostima i rezultatima, organizacija konferencija za medije i javnih događaja, promocija konkretnih projektnih aktivnosti u štampanim i elektronskim medijima </w:t>
      </w:r>
      <w:r w:rsidR="00A72185" w:rsidRPr="007546E5">
        <w:rPr>
          <w:rFonts w:ascii="Times New Roman" w:hAnsi="Times New Roman" w:cs="Times New Roman"/>
        </w:rPr>
        <w:t xml:space="preserve">kroz </w:t>
      </w:r>
      <w:r w:rsidR="00971A4E" w:rsidRPr="007546E5">
        <w:rPr>
          <w:rFonts w:ascii="Times New Roman" w:hAnsi="Times New Roman" w:cs="Times New Roman"/>
        </w:rPr>
        <w:t>intervju</w:t>
      </w:r>
      <w:r w:rsidR="00A72185" w:rsidRPr="007546E5">
        <w:rPr>
          <w:rFonts w:ascii="Times New Roman" w:hAnsi="Times New Roman" w:cs="Times New Roman"/>
        </w:rPr>
        <w:t>e</w:t>
      </w:r>
      <w:r w:rsidR="00971A4E" w:rsidRPr="007546E5">
        <w:rPr>
          <w:rFonts w:ascii="Times New Roman" w:hAnsi="Times New Roman" w:cs="Times New Roman"/>
        </w:rPr>
        <w:t>/reportaž</w:t>
      </w:r>
      <w:r w:rsidR="00A72185" w:rsidRPr="007546E5">
        <w:rPr>
          <w:rFonts w:ascii="Times New Roman" w:hAnsi="Times New Roman" w:cs="Times New Roman"/>
        </w:rPr>
        <w:t>e</w:t>
      </w:r>
      <w:r w:rsidR="00971A4E" w:rsidRPr="007546E5">
        <w:rPr>
          <w:rFonts w:ascii="Times New Roman" w:hAnsi="Times New Roman" w:cs="Times New Roman"/>
        </w:rPr>
        <w:t>/član</w:t>
      </w:r>
      <w:r w:rsidR="00A72185" w:rsidRPr="007546E5">
        <w:rPr>
          <w:rFonts w:ascii="Times New Roman" w:hAnsi="Times New Roman" w:cs="Times New Roman"/>
        </w:rPr>
        <w:t>ke</w:t>
      </w:r>
      <w:r w:rsidR="00971A4E" w:rsidRPr="007546E5">
        <w:rPr>
          <w:rFonts w:ascii="Times New Roman" w:hAnsi="Times New Roman" w:cs="Times New Roman"/>
        </w:rPr>
        <w:t>/prilog</w:t>
      </w:r>
      <w:r w:rsidR="00A72185" w:rsidRPr="007546E5">
        <w:rPr>
          <w:rFonts w:ascii="Times New Roman" w:hAnsi="Times New Roman" w:cs="Times New Roman"/>
        </w:rPr>
        <w:t>e</w:t>
      </w:r>
      <w:r w:rsidR="00091879" w:rsidRPr="007546E5">
        <w:rPr>
          <w:rFonts w:ascii="Times New Roman" w:hAnsi="Times New Roman" w:cs="Times New Roman"/>
        </w:rPr>
        <w:t>,</w:t>
      </w:r>
      <w:r w:rsidR="00971A4E" w:rsidRPr="007546E5">
        <w:rPr>
          <w:rFonts w:ascii="Times New Roman" w:hAnsi="Times New Roman" w:cs="Times New Roman"/>
        </w:rPr>
        <w:t xml:space="preserve"> itd.</w:t>
      </w:r>
    </w:p>
    <w:p w14:paraId="21CACB49" w14:textId="77777777" w:rsidR="00712DA1" w:rsidRPr="007546E5" w:rsidRDefault="00712DA1" w:rsidP="00712DA1">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Finansijska podrška trećim licima</w:t>
      </w:r>
    </w:p>
    <w:p w14:paraId="7BE5652A" w14:textId="77777777" w:rsidR="00712DA1" w:rsidRPr="007546E5" w:rsidRDefault="00712DA1" w:rsidP="00712DA1">
      <w:pPr>
        <w:pStyle w:val="NormalWeb"/>
        <w:rPr>
          <w:sz w:val="22"/>
          <w:szCs w:val="22"/>
          <w:lang w:val="sr-Latn-ME"/>
        </w:rPr>
      </w:pPr>
      <w:r w:rsidRPr="007546E5">
        <w:rPr>
          <w:rStyle w:val="Strong"/>
          <w:sz w:val="22"/>
          <w:szCs w:val="22"/>
          <w:lang w:val="sr-Latn-ME"/>
        </w:rPr>
        <w:t>Svi lotovi:</w:t>
      </w:r>
    </w:p>
    <w:p w14:paraId="2A66FE8F" w14:textId="77777777" w:rsidR="00712DA1" w:rsidRPr="007546E5" w:rsidRDefault="00712DA1" w:rsidP="00712DA1">
      <w:pPr>
        <w:pStyle w:val="NormalWeb"/>
        <w:jc w:val="both"/>
        <w:rPr>
          <w:sz w:val="22"/>
          <w:szCs w:val="22"/>
          <w:lang w:val="sr-Latn-ME"/>
        </w:rPr>
      </w:pPr>
      <w:r w:rsidRPr="007546E5">
        <w:rPr>
          <w:sz w:val="22"/>
          <w:szCs w:val="22"/>
          <w:lang w:val="sr-Latn-ME"/>
        </w:rPr>
        <w:t>Podnosioci prijava moraju predvidjeti finansijsku podršku trećim licima (FSTP) kako bi doprinijeli ostvarivanju ciljeva akcije.</w:t>
      </w:r>
    </w:p>
    <w:p w14:paraId="4C4088FE" w14:textId="1E18799A" w:rsidR="00712DA1" w:rsidRPr="007546E5" w:rsidRDefault="00712DA1" w:rsidP="00712DA1">
      <w:pPr>
        <w:pStyle w:val="NormalWeb"/>
        <w:jc w:val="both"/>
        <w:rPr>
          <w:sz w:val="22"/>
          <w:szCs w:val="22"/>
          <w:lang w:val="sr-Latn-ME"/>
        </w:rPr>
      </w:pPr>
      <w:r w:rsidRPr="007546E5">
        <w:rPr>
          <w:rStyle w:val="Strong"/>
          <w:sz w:val="22"/>
          <w:szCs w:val="22"/>
          <w:lang w:val="sr-Latn-ME"/>
        </w:rPr>
        <w:t>Lot 1:</w:t>
      </w:r>
      <w:r w:rsidRPr="007546E5">
        <w:rPr>
          <w:sz w:val="22"/>
          <w:szCs w:val="22"/>
          <w:lang w:val="sr-Latn-ME"/>
        </w:rPr>
        <w:t xml:space="preserve"> najmanje </w:t>
      </w:r>
      <w:r w:rsidRPr="007546E5">
        <w:rPr>
          <w:b/>
          <w:sz w:val="22"/>
          <w:szCs w:val="22"/>
          <w:lang w:val="sr-Latn-ME"/>
        </w:rPr>
        <w:t>200.000 EUR</w:t>
      </w:r>
      <w:r w:rsidRPr="007546E5">
        <w:rPr>
          <w:sz w:val="22"/>
          <w:szCs w:val="22"/>
          <w:lang w:val="sr-Latn-ME"/>
        </w:rPr>
        <w:t xml:space="preserve"> mora biti opredijeljeno za FSTP;</w:t>
      </w:r>
      <w:r w:rsidRPr="007546E5">
        <w:rPr>
          <w:sz w:val="22"/>
          <w:szCs w:val="22"/>
          <w:lang w:val="sr-Latn-ME"/>
        </w:rPr>
        <w:tab/>
      </w:r>
      <w:r w:rsidRPr="007546E5">
        <w:rPr>
          <w:sz w:val="22"/>
          <w:szCs w:val="22"/>
          <w:lang w:val="sr-Latn-ME"/>
        </w:rPr>
        <w:br/>
      </w:r>
      <w:r w:rsidRPr="007546E5">
        <w:rPr>
          <w:rStyle w:val="Strong"/>
          <w:sz w:val="22"/>
          <w:szCs w:val="22"/>
          <w:lang w:val="sr-Latn-ME"/>
        </w:rPr>
        <w:t>Lot 2:</w:t>
      </w:r>
      <w:r w:rsidRPr="007546E5">
        <w:rPr>
          <w:sz w:val="22"/>
          <w:szCs w:val="22"/>
          <w:lang w:val="sr-Latn-ME"/>
        </w:rPr>
        <w:t xml:space="preserve"> najmanje </w:t>
      </w:r>
      <w:r w:rsidRPr="007546E5">
        <w:rPr>
          <w:b/>
          <w:sz w:val="22"/>
          <w:szCs w:val="22"/>
          <w:lang w:val="sr-Latn-ME"/>
        </w:rPr>
        <w:t>300.000 EUR</w:t>
      </w:r>
      <w:r w:rsidRPr="007546E5">
        <w:rPr>
          <w:sz w:val="22"/>
          <w:szCs w:val="22"/>
          <w:lang w:val="sr-Latn-ME"/>
        </w:rPr>
        <w:t xml:space="preserve"> mora biti opredijeljeno za FSTP.</w:t>
      </w:r>
    </w:p>
    <w:p w14:paraId="62D45854" w14:textId="17140E11" w:rsidR="00712DA1" w:rsidRPr="007546E5" w:rsidRDefault="00712DA1" w:rsidP="00712DA1">
      <w:pPr>
        <w:pStyle w:val="NormalWeb"/>
        <w:jc w:val="both"/>
        <w:rPr>
          <w:sz w:val="22"/>
          <w:szCs w:val="22"/>
          <w:lang w:val="sr-Latn-ME"/>
        </w:rPr>
      </w:pPr>
      <w:r w:rsidRPr="007546E5">
        <w:rPr>
          <w:sz w:val="22"/>
          <w:szCs w:val="22"/>
          <w:lang w:val="sr-Latn-ME"/>
        </w:rPr>
        <w:t>Maksimalni iznos finansijske podrške po trećem licu iznosi 30.000 EUR, osim u slučajevima kada bi ostvarivanje ciljeva akcije bilo nemoguće ili pretjerano otežano, kada se ovaj prag može premašiti. Po potrebi se može odrediti i niži maksimalni iznos od 30.000 EUR.</w:t>
      </w:r>
    </w:p>
    <w:p w14:paraId="074D897A" w14:textId="77777777" w:rsidR="00712DA1" w:rsidRPr="007546E5" w:rsidRDefault="00712DA1" w:rsidP="00712DA1">
      <w:pPr>
        <w:pStyle w:val="NormalWeb"/>
        <w:jc w:val="both"/>
        <w:rPr>
          <w:sz w:val="22"/>
          <w:szCs w:val="22"/>
          <w:lang w:val="sr-Latn-ME"/>
        </w:rPr>
      </w:pPr>
      <w:r w:rsidRPr="007546E5">
        <w:rPr>
          <w:sz w:val="22"/>
          <w:szCs w:val="22"/>
          <w:lang w:val="sr-Latn-ME"/>
        </w:rPr>
        <w:t xml:space="preserve">Napominje se da se sve odredbe iz odjeljka 2.1.3, kao i elementi koji se odnose na sektore i teme, lokaciju, vrste akcija, vrste aktivnosti, neprihvatljive akcije i broj prijava i grantova po podnosiocu prijave, </w:t>
      </w:r>
      <w:r w:rsidRPr="007546E5">
        <w:rPr>
          <w:b/>
          <w:sz w:val="22"/>
          <w:szCs w:val="22"/>
          <w:lang w:val="sr-Latn-ME"/>
        </w:rPr>
        <w:t>takođe primjenjuju na</w:t>
      </w:r>
      <w:r w:rsidRPr="007546E5">
        <w:rPr>
          <w:sz w:val="22"/>
          <w:szCs w:val="22"/>
          <w:lang w:val="sr-Latn-ME"/>
        </w:rPr>
        <w:t xml:space="preserve"> </w:t>
      </w:r>
      <w:r w:rsidRPr="007546E5">
        <w:rPr>
          <w:b/>
          <w:sz w:val="22"/>
          <w:szCs w:val="22"/>
          <w:lang w:val="sr-Latn-ME"/>
        </w:rPr>
        <w:t>finansijsku podršku trećim licima</w:t>
      </w:r>
      <w:r w:rsidRPr="007546E5">
        <w:rPr>
          <w:sz w:val="22"/>
          <w:szCs w:val="22"/>
          <w:lang w:val="sr-Latn-ME"/>
        </w:rPr>
        <w:t>. Jedini izuzetak odnosi se na trajanje sprovođenja akcija finansiranih kroz podršku trećim licima. Aktivnosti moraju biti realizovane u okviru trajanja ugovora.</w:t>
      </w:r>
    </w:p>
    <w:p w14:paraId="449FC392" w14:textId="77777777" w:rsidR="00712DA1" w:rsidRPr="007546E5" w:rsidRDefault="00712DA1" w:rsidP="00712DA1">
      <w:pPr>
        <w:pStyle w:val="NormalWeb"/>
        <w:jc w:val="both"/>
        <w:rPr>
          <w:b/>
          <w:sz w:val="22"/>
          <w:szCs w:val="22"/>
          <w:lang w:val="sr-Latn-ME"/>
        </w:rPr>
      </w:pPr>
      <w:r w:rsidRPr="007546E5">
        <w:rPr>
          <w:b/>
          <w:sz w:val="22"/>
          <w:szCs w:val="22"/>
          <w:lang w:val="sr-Latn-ME"/>
        </w:rPr>
        <w:t>U skladu sa ovim smjernicama, a naročito sa svim uslovima i ograničenjima iz ovog odjeljka, vodeći podnosilac prijave mora obavezno definisati u odjeljku 2.1.1 obrasca prijave za grant:</w:t>
      </w:r>
    </w:p>
    <w:p w14:paraId="4086D5BF" w14:textId="0C539106" w:rsidR="00712DA1" w:rsidRPr="007546E5" w:rsidRDefault="00712DA1" w:rsidP="00712DA1">
      <w:pPr>
        <w:pStyle w:val="NormalWeb"/>
        <w:numPr>
          <w:ilvl w:val="1"/>
          <w:numId w:val="13"/>
        </w:numPr>
        <w:jc w:val="both"/>
        <w:rPr>
          <w:sz w:val="22"/>
          <w:szCs w:val="22"/>
          <w:lang w:val="sr-Latn-ME"/>
        </w:rPr>
      </w:pPr>
      <w:r w:rsidRPr="007546E5">
        <w:rPr>
          <w:sz w:val="22"/>
          <w:szCs w:val="22"/>
          <w:lang w:val="sr-Latn-ME"/>
        </w:rPr>
        <w:t>opšti cilj, specifični cilj(evi) i rezultate</w:t>
      </w:r>
      <w:r w:rsidRPr="007546E5">
        <w:rPr>
          <w:rStyle w:val="FootnoteReference"/>
          <w:lang w:val="sr-Latn-ME"/>
        </w:rPr>
        <w:footnoteReference w:customMarkFollows="1" w:id="14"/>
        <w:t>[1]</w:t>
      </w:r>
      <w:r w:rsidRPr="007546E5">
        <w:rPr>
          <w:lang w:val="sr-Latn-ME"/>
        </w:rPr>
        <w:t xml:space="preserve"> </w:t>
      </w:r>
      <w:r w:rsidRPr="007546E5">
        <w:rPr>
          <w:sz w:val="22"/>
          <w:szCs w:val="22"/>
          <w:lang w:val="sr-Latn-ME"/>
        </w:rPr>
        <w:t xml:space="preserve"> (tj. ishode) koji će se postići putem finansijske podrške;</w:t>
      </w:r>
    </w:p>
    <w:p w14:paraId="606AF364" w14:textId="77777777" w:rsidR="00712DA1" w:rsidRPr="007546E5" w:rsidRDefault="00712DA1" w:rsidP="00712DA1">
      <w:pPr>
        <w:pStyle w:val="NormalWeb"/>
        <w:numPr>
          <w:ilvl w:val="1"/>
          <w:numId w:val="13"/>
        </w:numPr>
        <w:jc w:val="both"/>
        <w:rPr>
          <w:sz w:val="22"/>
          <w:szCs w:val="22"/>
          <w:lang w:val="sr-Latn-ME"/>
        </w:rPr>
      </w:pPr>
      <w:r w:rsidRPr="007546E5">
        <w:rPr>
          <w:sz w:val="22"/>
          <w:szCs w:val="22"/>
          <w:lang w:val="sr-Latn-ME"/>
        </w:rPr>
        <w:t>različite vrste aktivnosti koje su prihvatljive za finansijsku podršku, na osnovu unaprijed definisane liste;</w:t>
      </w:r>
    </w:p>
    <w:p w14:paraId="725136CD" w14:textId="77777777" w:rsidR="00712DA1" w:rsidRPr="007546E5" w:rsidRDefault="00712DA1" w:rsidP="00712DA1">
      <w:pPr>
        <w:pStyle w:val="NormalWeb"/>
        <w:numPr>
          <w:ilvl w:val="1"/>
          <w:numId w:val="13"/>
        </w:numPr>
        <w:jc w:val="both"/>
        <w:rPr>
          <w:sz w:val="22"/>
          <w:szCs w:val="22"/>
          <w:lang w:val="sr-Latn-ME"/>
        </w:rPr>
      </w:pPr>
      <w:r w:rsidRPr="007546E5">
        <w:rPr>
          <w:sz w:val="22"/>
          <w:szCs w:val="22"/>
          <w:lang w:val="sr-Latn-ME"/>
        </w:rPr>
        <w:t>vrste lica ili kategorije lica koja mogu dobiti finansijsku podršku;</w:t>
      </w:r>
      <w:r w:rsidRPr="007546E5">
        <w:rPr>
          <w:sz w:val="22"/>
          <w:szCs w:val="22"/>
          <w:lang w:val="sr-Latn-ME"/>
        </w:rPr>
        <w:tab/>
      </w:r>
    </w:p>
    <w:p w14:paraId="0EF2ED5F" w14:textId="77777777" w:rsidR="00712DA1" w:rsidRPr="007546E5" w:rsidRDefault="00712DA1" w:rsidP="00712DA1">
      <w:pPr>
        <w:pStyle w:val="NormalWeb"/>
        <w:numPr>
          <w:ilvl w:val="1"/>
          <w:numId w:val="13"/>
        </w:numPr>
        <w:jc w:val="both"/>
        <w:rPr>
          <w:sz w:val="22"/>
          <w:szCs w:val="22"/>
          <w:lang w:val="sr-Latn-ME"/>
        </w:rPr>
      </w:pPr>
      <w:r w:rsidRPr="007546E5">
        <w:rPr>
          <w:sz w:val="22"/>
          <w:szCs w:val="22"/>
          <w:lang w:val="sr-Latn-ME"/>
        </w:rPr>
        <w:t>kriterijume za izbor ovih subjekata i dodjelu finansijske podrške;</w:t>
      </w:r>
      <w:r w:rsidRPr="007546E5">
        <w:rPr>
          <w:sz w:val="22"/>
          <w:szCs w:val="22"/>
          <w:lang w:val="sr-Latn-ME"/>
        </w:rPr>
        <w:tab/>
      </w:r>
    </w:p>
    <w:p w14:paraId="3A11997C" w14:textId="77777777" w:rsidR="00712DA1" w:rsidRPr="007546E5" w:rsidRDefault="00712DA1" w:rsidP="00712DA1">
      <w:pPr>
        <w:pStyle w:val="NormalWeb"/>
        <w:numPr>
          <w:ilvl w:val="1"/>
          <w:numId w:val="13"/>
        </w:numPr>
        <w:jc w:val="both"/>
        <w:rPr>
          <w:sz w:val="22"/>
          <w:szCs w:val="22"/>
          <w:lang w:val="sr-Latn-ME"/>
        </w:rPr>
      </w:pPr>
      <w:r w:rsidRPr="007546E5">
        <w:rPr>
          <w:sz w:val="22"/>
          <w:szCs w:val="22"/>
          <w:lang w:val="sr-Latn-ME"/>
        </w:rPr>
        <w:t>kriterijume za određivanje tačnog iznosa finansijske podrške za svako treće lice; i</w:t>
      </w:r>
      <w:r w:rsidRPr="007546E5">
        <w:rPr>
          <w:sz w:val="22"/>
          <w:szCs w:val="22"/>
          <w:lang w:val="sr-Latn-ME"/>
        </w:rPr>
        <w:tab/>
      </w:r>
    </w:p>
    <w:p w14:paraId="401E7EFF" w14:textId="66A74511" w:rsidR="00712DA1" w:rsidRPr="007546E5" w:rsidRDefault="00712DA1" w:rsidP="00712DA1">
      <w:pPr>
        <w:pStyle w:val="NormalWeb"/>
        <w:numPr>
          <w:ilvl w:val="1"/>
          <w:numId w:val="13"/>
        </w:numPr>
        <w:jc w:val="both"/>
        <w:rPr>
          <w:sz w:val="22"/>
          <w:szCs w:val="22"/>
          <w:lang w:val="sr-Latn-ME"/>
        </w:rPr>
      </w:pPr>
      <w:r w:rsidRPr="007546E5">
        <w:rPr>
          <w:sz w:val="22"/>
          <w:szCs w:val="22"/>
          <w:lang w:val="sr-Latn-ME"/>
        </w:rPr>
        <w:t>maksimalni iznos koji može biti dodijeljen.</w:t>
      </w:r>
    </w:p>
    <w:p w14:paraId="6CFAD6FF" w14:textId="77777777" w:rsidR="00712DA1" w:rsidRPr="007546E5" w:rsidRDefault="00712DA1" w:rsidP="00712DA1">
      <w:pPr>
        <w:pStyle w:val="NormalWeb"/>
        <w:jc w:val="both"/>
        <w:rPr>
          <w:sz w:val="22"/>
          <w:szCs w:val="22"/>
          <w:u w:val="single"/>
          <w:lang w:val="sr-Latn-ME"/>
        </w:rPr>
      </w:pPr>
      <w:r w:rsidRPr="007546E5">
        <w:rPr>
          <w:sz w:val="22"/>
          <w:szCs w:val="22"/>
          <w:u w:val="single"/>
          <w:lang w:val="sr-Latn-ME"/>
        </w:rPr>
        <w:lastRenderedPageBreak/>
        <w:t>U svim slučajevima, gore navedeni obavezni uslovi za dodjelu finansijske podrške (tačke (i) do (vi)) moraju biti jasno i precizno definisani u ugovoru o grantu, kako bi se izbjegla bilo kakva proizvoljnost u odlučivanju.</w:t>
      </w:r>
    </w:p>
    <w:p w14:paraId="6E16F716" w14:textId="3BB62681" w:rsidR="00712DA1" w:rsidRPr="007546E5" w:rsidRDefault="00712DA1" w:rsidP="00712DA1">
      <w:pPr>
        <w:pStyle w:val="NormalWeb"/>
        <w:jc w:val="both"/>
        <w:rPr>
          <w:sz w:val="22"/>
          <w:szCs w:val="22"/>
          <w:lang w:val="sr-Latn-ME"/>
        </w:rPr>
      </w:pPr>
      <w:r w:rsidRPr="007546E5">
        <w:rPr>
          <w:sz w:val="22"/>
          <w:szCs w:val="22"/>
          <w:lang w:val="sr-Latn-ME"/>
        </w:rPr>
        <w:t>Korisnici finansijske podrške ne smiju biti navedeni na listama restriktivnih mjera Evropske unije (</w:t>
      </w:r>
      <w:hyperlink r:id="rId39" w:history="1">
        <w:r w:rsidRPr="007546E5">
          <w:rPr>
            <w:rStyle w:val="Hyperlink"/>
            <w:sz w:val="22"/>
            <w:szCs w:val="22"/>
            <w:lang w:val="sr-Latn-ME"/>
          </w:rPr>
          <w:t>vidjeti odjeljak 2.4 PRAG-a</w:t>
        </w:r>
      </w:hyperlink>
      <w:r w:rsidRPr="007546E5">
        <w:rPr>
          <w:sz w:val="22"/>
          <w:szCs w:val="22"/>
          <w:lang w:val="sr-Latn-ME"/>
        </w:rPr>
        <w:t>).</w:t>
      </w:r>
    </w:p>
    <w:p w14:paraId="0211E9FA" w14:textId="77777777" w:rsidR="00712DA1" w:rsidRPr="007546E5" w:rsidRDefault="00712DA1" w:rsidP="00712DA1">
      <w:pPr>
        <w:pStyle w:val="NormalWeb"/>
        <w:jc w:val="both"/>
        <w:rPr>
          <w:sz w:val="22"/>
          <w:szCs w:val="22"/>
          <w:lang w:val="sr-Latn-ME"/>
        </w:rPr>
      </w:pPr>
      <w:r w:rsidRPr="007546E5">
        <w:rPr>
          <w:sz w:val="22"/>
          <w:szCs w:val="22"/>
          <w:lang w:val="sr-Latn-ME"/>
        </w:rPr>
        <w:t>Lica ili kategorije lica koja su kao treća lica prihvatljiva za finansijsku podršku su sljedeća:</w:t>
      </w:r>
    </w:p>
    <w:p w14:paraId="0449CD5A" w14:textId="4FB6BB99" w:rsidR="00712DA1" w:rsidRPr="007546E5" w:rsidRDefault="00712DA1" w:rsidP="00712DA1">
      <w:pPr>
        <w:numPr>
          <w:ilvl w:val="0"/>
          <w:numId w:val="15"/>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moraju biti pravna lica ili subjekti bez pravnog subjektiviteta</w:t>
      </w:r>
      <w:r w:rsidR="00A66F29" w:rsidRPr="007546E5">
        <w:rPr>
          <w:rStyle w:val="FootnoteReference"/>
          <w:rFonts w:ascii="Times New Roman" w:hAnsi="Times New Roman" w:cs="Times New Roman"/>
        </w:rPr>
        <w:footnoteReference w:id="15"/>
      </w:r>
      <w:r w:rsidRPr="007546E5">
        <w:rPr>
          <w:rFonts w:ascii="Times New Roman" w:hAnsi="Times New Roman" w:cs="Times New Roman"/>
        </w:rPr>
        <w:t xml:space="preserve"> </w:t>
      </w:r>
      <w:r w:rsidRPr="007546E5">
        <w:rPr>
          <w:rFonts w:ascii="Times New Roman" w:hAnsi="Times New Roman" w:cs="Times New Roman"/>
          <w:b/>
        </w:rPr>
        <w:t>i</w:t>
      </w:r>
      <w:r w:rsidRPr="007546E5">
        <w:rPr>
          <w:rFonts w:ascii="Times New Roman" w:hAnsi="Times New Roman" w:cs="Times New Roman"/>
        </w:rPr>
        <w:t xml:space="preserve"> </w:t>
      </w:r>
    </w:p>
    <w:p w14:paraId="1E57ABA6" w14:textId="77777777" w:rsidR="00712DA1" w:rsidRPr="007546E5" w:rsidRDefault="00712DA1" w:rsidP="00712DA1">
      <w:pPr>
        <w:numPr>
          <w:ilvl w:val="0"/>
          <w:numId w:val="15"/>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moraju biti neprofitnog karaktera </w:t>
      </w:r>
      <w:r w:rsidRPr="007546E5">
        <w:rPr>
          <w:rFonts w:ascii="Times New Roman" w:hAnsi="Times New Roman" w:cs="Times New Roman"/>
          <w:b/>
        </w:rPr>
        <w:t>i</w:t>
      </w:r>
      <w:r w:rsidRPr="007546E5">
        <w:rPr>
          <w:rFonts w:ascii="Times New Roman" w:hAnsi="Times New Roman" w:cs="Times New Roman"/>
        </w:rPr>
        <w:t xml:space="preserve"> </w:t>
      </w:r>
    </w:p>
    <w:p w14:paraId="2460C162" w14:textId="0AC49036" w:rsidR="00712DA1" w:rsidRPr="007546E5" w:rsidRDefault="00712DA1" w:rsidP="00712DA1">
      <w:pPr>
        <w:numPr>
          <w:ilvl w:val="0"/>
          <w:numId w:val="15"/>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moraju biti organizacije civilnog društva</w:t>
      </w:r>
      <w:r w:rsidR="00A66F29" w:rsidRPr="007546E5">
        <w:rPr>
          <w:rStyle w:val="FootnoteReference"/>
          <w:rFonts w:ascii="Times New Roman" w:hAnsi="Times New Roman" w:cs="Times New Roman"/>
        </w:rPr>
        <w:footnoteReference w:id="16"/>
      </w:r>
      <w:r w:rsidRPr="007546E5">
        <w:rPr>
          <w:rFonts w:ascii="Times New Roman" w:hAnsi="Times New Roman" w:cs="Times New Roman"/>
        </w:rPr>
        <w:t xml:space="preserve"> </w:t>
      </w:r>
      <w:r w:rsidRPr="007546E5">
        <w:rPr>
          <w:rFonts w:ascii="Times New Roman" w:hAnsi="Times New Roman" w:cs="Times New Roman"/>
          <w:b/>
        </w:rPr>
        <w:t>i</w:t>
      </w:r>
      <w:r w:rsidRPr="007546E5">
        <w:rPr>
          <w:rFonts w:ascii="Times New Roman" w:hAnsi="Times New Roman" w:cs="Times New Roman"/>
        </w:rPr>
        <w:t xml:space="preserve"> </w:t>
      </w:r>
    </w:p>
    <w:p w14:paraId="2EE79F23" w14:textId="614C8213" w:rsidR="00712DA1" w:rsidRPr="007546E5" w:rsidRDefault="00712DA1" w:rsidP="00712DA1">
      <w:pPr>
        <w:numPr>
          <w:ilvl w:val="0"/>
          <w:numId w:val="15"/>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moraju biti direktno odgovorna za pripremu i upravljanje akcijom</w:t>
      </w:r>
      <w:r w:rsidR="00DB0397" w:rsidRPr="007546E5">
        <w:rPr>
          <w:rFonts w:ascii="Times New Roman" w:hAnsi="Times New Roman" w:cs="Times New Roman"/>
        </w:rPr>
        <w:t>.</w:t>
      </w:r>
    </w:p>
    <w:p w14:paraId="02183B89" w14:textId="77777777" w:rsidR="00D7484E" w:rsidRPr="007546E5" w:rsidRDefault="00D7484E" w:rsidP="00D7484E">
      <w:pPr>
        <w:spacing w:before="100" w:beforeAutospacing="1" w:after="100" w:afterAutospacing="1" w:line="240" w:lineRule="auto"/>
        <w:jc w:val="both"/>
        <w:rPr>
          <w:rFonts w:ascii="Times New Roman" w:eastAsia="Times New Roman" w:hAnsi="Times New Roman" w:cs="Times New Roman"/>
          <w:b/>
          <w:lang w:eastAsia="en-GB"/>
        </w:rPr>
      </w:pPr>
      <w:r w:rsidRPr="007546E5">
        <w:rPr>
          <w:rFonts w:ascii="Times New Roman" w:eastAsia="Times New Roman" w:hAnsi="Times New Roman" w:cs="Times New Roman"/>
          <w:b/>
          <w:lang w:eastAsia="en-GB"/>
        </w:rPr>
        <w:t>Opis akcije mora sadržati jasan program jačanja kapaciteta i mentorstva za korisnike finansijske podrške trećim licima (FSTP). Ovaj program treba da obuhvati i upravljanje projektom i sadržinski aspekt aktivnosti koje se sprovode u okviru FSTP. Obavezno je obezbijediti i podršku za konsolidaciju i razmjenu iskustava stečenih kroz FSTP, uključujući komunikaciju.</w:t>
      </w:r>
    </w:p>
    <w:p w14:paraId="76B0ACB7" w14:textId="767EF02F" w:rsidR="00D7484E" w:rsidRPr="007546E5" w:rsidRDefault="00D7484E" w:rsidP="00D7484E">
      <w:p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 xml:space="preserve">Finansijska podrška trećim licima trebalo bi, po pravilu, da se dodjeljuje putem poziva za dostavljanje </w:t>
      </w:r>
      <w:r w:rsidR="002832D2" w:rsidRPr="007546E5">
        <w:rPr>
          <w:rFonts w:ascii="Times New Roman" w:eastAsia="Times New Roman" w:hAnsi="Times New Roman" w:cs="Times New Roman"/>
          <w:lang w:eastAsia="en-GB"/>
        </w:rPr>
        <w:t>prijedlog</w:t>
      </w:r>
      <w:r w:rsidRPr="007546E5">
        <w:rPr>
          <w:rFonts w:ascii="Times New Roman" w:eastAsia="Times New Roman" w:hAnsi="Times New Roman" w:cs="Times New Roman"/>
          <w:lang w:eastAsia="en-GB"/>
        </w:rPr>
        <w:t>a projekata koji ostaju otvoreni za prijave trećih lica (organizacija ili inicijativa) tokom perioda sprovođenja projekta, uz rok koji omogućava realizaciju inicijativa kojima je potrebna finansijska podrška.</w:t>
      </w:r>
    </w:p>
    <w:p w14:paraId="72DEE04A" w14:textId="77777777" w:rsidR="00D7484E" w:rsidRPr="007546E5" w:rsidRDefault="00D7484E" w:rsidP="00D7484E">
      <w:pPr>
        <w:spacing w:before="100" w:beforeAutospacing="1" w:after="100" w:afterAutospacing="1" w:line="240" w:lineRule="auto"/>
        <w:jc w:val="both"/>
        <w:rPr>
          <w:rFonts w:ascii="Times New Roman" w:eastAsia="Times New Roman" w:hAnsi="Times New Roman" w:cs="Times New Roman"/>
          <w:u w:val="single"/>
          <w:lang w:eastAsia="en-GB"/>
        </w:rPr>
      </w:pPr>
      <w:r w:rsidRPr="007546E5">
        <w:rPr>
          <w:rFonts w:ascii="Times New Roman" w:eastAsia="Times New Roman" w:hAnsi="Times New Roman" w:cs="Times New Roman"/>
          <w:u w:val="single"/>
          <w:lang w:eastAsia="en-GB"/>
        </w:rPr>
        <w:t>Prilikom raspisivanja poziva za dodjelu finansijske podrške trećim licima, korisnici sredstava mogu koristiti sopstvene procedure, pod uslovom da su u skladu sa principima proporcionalnosti, dobrog finansijskog upravljanja, jednakog tretmana i nediskriminacije, da obezbjeđuju transparentnost kroz adekvatno objavljivanje poziva i da sprječavaju sukob interesa tokom čitavog postupka dodjele.</w:t>
      </w:r>
    </w:p>
    <w:p w14:paraId="6B4F78BB" w14:textId="77777777" w:rsidR="00D7484E" w:rsidRPr="007546E5" w:rsidRDefault="00D7484E" w:rsidP="00D7484E">
      <w:pPr>
        <w:spacing w:before="100" w:beforeAutospacing="1" w:after="100" w:afterAutospacing="1" w:line="240" w:lineRule="auto"/>
        <w:jc w:val="both"/>
        <w:rPr>
          <w:rFonts w:ascii="Times New Roman" w:eastAsia="Times New Roman" w:hAnsi="Times New Roman" w:cs="Times New Roman"/>
          <w:b/>
          <w:lang w:eastAsia="en-GB"/>
        </w:rPr>
      </w:pPr>
      <w:r w:rsidRPr="007546E5">
        <w:rPr>
          <w:rFonts w:ascii="Times New Roman" w:eastAsia="Times New Roman" w:hAnsi="Times New Roman" w:cs="Times New Roman"/>
          <w:b/>
          <w:lang w:eastAsia="en-GB"/>
        </w:rPr>
        <w:t>Finansijska podrška trećim licima treba, po pravilu, da bude usmjerena ka subjektima koji djeluju van glavnog grada Podgorice, uz ravnomjernu raspodjelu podrške na teritoriji cijele države.</w:t>
      </w:r>
    </w:p>
    <w:p w14:paraId="62D795E4" w14:textId="38AE6911" w:rsidR="00D7484E" w:rsidRPr="007546E5" w:rsidRDefault="00D7484E" w:rsidP="00D7484E">
      <w:pPr>
        <w:spacing w:before="100" w:beforeAutospacing="1" w:after="100" w:afterAutospacing="1" w:line="240" w:lineRule="auto"/>
        <w:jc w:val="both"/>
        <w:rPr>
          <w:rFonts w:ascii="Times New Roman" w:eastAsia="Times New Roman" w:hAnsi="Times New Roman" w:cs="Times New Roman"/>
          <w:b/>
          <w:lang w:eastAsia="en-GB"/>
        </w:rPr>
      </w:pPr>
      <w:r w:rsidRPr="007546E5">
        <w:rPr>
          <w:rFonts w:ascii="Times New Roman" w:eastAsia="Times New Roman" w:hAnsi="Times New Roman" w:cs="Times New Roman"/>
          <w:b/>
          <w:lang w:eastAsia="en-GB"/>
        </w:rPr>
        <w:t xml:space="preserve">Korisnici sredstava koji su potpisali ugovor u okviru ovog poziva za dostavljanje </w:t>
      </w:r>
      <w:r w:rsidR="002832D2" w:rsidRPr="007546E5">
        <w:rPr>
          <w:rFonts w:ascii="Times New Roman" w:eastAsia="Times New Roman" w:hAnsi="Times New Roman" w:cs="Times New Roman"/>
          <w:b/>
          <w:lang w:eastAsia="en-GB"/>
        </w:rPr>
        <w:t>prijedlog</w:t>
      </w:r>
      <w:r w:rsidRPr="007546E5">
        <w:rPr>
          <w:rFonts w:ascii="Times New Roman" w:eastAsia="Times New Roman" w:hAnsi="Times New Roman" w:cs="Times New Roman"/>
          <w:b/>
          <w:lang w:eastAsia="en-GB"/>
        </w:rPr>
        <w:t>a projekata nijesu prihvatljivi kao podnosioci prijava za finansijsku podršku trećim licima.</w:t>
      </w:r>
    </w:p>
    <w:p w14:paraId="2ABB07C8" w14:textId="77777777" w:rsidR="00D7484E" w:rsidRPr="007546E5" w:rsidRDefault="00D7484E" w:rsidP="00D7484E">
      <w:pPr>
        <w:spacing w:before="100" w:beforeAutospacing="1" w:after="100" w:afterAutospacing="1" w:line="240" w:lineRule="auto"/>
        <w:jc w:val="both"/>
        <w:rPr>
          <w:rFonts w:ascii="Times New Roman" w:eastAsia="Times New Roman" w:hAnsi="Times New Roman" w:cs="Times New Roman"/>
          <w:b/>
          <w:lang w:eastAsia="en-GB"/>
        </w:rPr>
      </w:pPr>
      <w:r w:rsidRPr="007546E5">
        <w:rPr>
          <w:rFonts w:ascii="Times New Roman" w:eastAsia="Times New Roman" w:hAnsi="Times New Roman" w:cs="Times New Roman"/>
          <w:b/>
          <w:lang w:eastAsia="en-GB"/>
        </w:rPr>
        <w:t>Nije dozvoljeno zahtijevati sufinansiranje od trećih lica. Za finansijsku podršku trećim licima mora biti obezbijeđeno 100% finansiranje.</w:t>
      </w:r>
    </w:p>
    <w:p w14:paraId="5B0C43E2" w14:textId="6286A807" w:rsidR="00D7484E" w:rsidRPr="007546E5" w:rsidRDefault="00D7484E" w:rsidP="00D7484E">
      <w:pPr>
        <w:spacing w:before="100" w:beforeAutospacing="1" w:after="100" w:afterAutospacing="1" w:line="240" w:lineRule="auto"/>
        <w:jc w:val="both"/>
        <w:rPr>
          <w:rFonts w:ascii="Times New Roman" w:eastAsia="Times New Roman" w:hAnsi="Times New Roman" w:cs="Times New Roman"/>
          <w:b/>
          <w:lang w:eastAsia="en-GB"/>
        </w:rPr>
      </w:pPr>
      <w:r w:rsidRPr="007546E5">
        <w:rPr>
          <w:rFonts w:ascii="Times New Roman" w:eastAsia="Times New Roman" w:hAnsi="Times New Roman" w:cs="Times New Roman"/>
          <w:b/>
          <w:bCs/>
          <w:lang w:eastAsia="en-GB"/>
        </w:rPr>
        <w:t>Finansijska podrška trećim licima (FSTP)</w:t>
      </w:r>
      <w:r w:rsidR="002245BE" w:rsidRPr="007546E5">
        <w:rPr>
          <w:rStyle w:val="FootnoteReference"/>
          <w:rFonts w:ascii="Times New Roman" w:eastAsia="Times New Roman" w:hAnsi="Times New Roman" w:cs="Times New Roman"/>
          <w:b/>
          <w:bCs/>
          <w:lang w:eastAsia="en-GB"/>
        </w:rPr>
        <w:footnoteReference w:id="17"/>
      </w:r>
      <w:r w:rsidRPr="007546E5">
        <w:rPr>
          <w:rFonts w:ascii="Times New Roman" w:eastAsia="Times New Roman" w:hAnsi="Times New Roman" w:cs="Times New Roman"/>
          <w:lang w:eastAsia="en-GB"/>
        </w:rPr>
        <w:t xml:space="preserve"> predstavlja finansijski mehanizam putem kojeg Evropska unija dodjeljuje sredstva jednoj organizaciji kao podnosiocu prijave za grant, koja zatim ta </w:t>
      </w:r>
      <w:r w:rsidRPr="007546E5">
        <w:rPr>
          <w:rFonts w:ascii="Times New Roman" w:eastAsia="Times New Roman" w:hAnsi="Times New Roman" w:cs="Times New Roman"/>
          <w:lang w:eastAsia="en-GB"/>
        </w:rPr>
        <w:lastRenderedPageBreak/>
        <w:t xml:space="preserve">sredstva dalje dodjeljuje većem broju manjih organizacija civilnog društva, </w:t>
      </w:r>
      <w:r w:rsidR="009965E1">
        <w:rPr>
          <w:rFonts w:ascii="Times New Roman" w:eastAsia="Times New Roman" w:hAnsi="Times New Roman" w:cs="Times New Roman"/>
          <w:lang w:eastAsia="en-GB"/>
        </w:rPr>
        <w:t>organi</w:t>
      </w:r>
      <w:r w:rsidR="008551F6">
        <w:rPr>
          <w:rFonts w:ascii="Times New Roman" w:eastAsia="Times New Roman" w:hAnsi="Times New Roman" w:cs="Times New Roman"/>
          <w:lang w:eastAsia="en-GB"/>
        </w:rPr>
        <w:t>za</w:t>
      </w:r>
      <w:r w:rsidR="009965E1">
        <w:rPr>
          <w:rFonts w:ascii="Times New Roman" w:eastAsia="Times New Roman" w:hAnsi="Times New Roman" w:cs="Times New Roman"/>
          <w:lang w:eastAsia="en-GB"/>
        </w:rPr>
        <w:t xml:space="preserve">cija na lokalnom nivou </w:t>
      </w:r>
      <w:r w:rsidR="009965E1" w:rsidRPr="00F632AA">
        <w:rPr>
          <w:rFonts w:ascii="Times New Roman" w:eastAsia="Times New Roman" w:hAnsi="Times New Roman" w:cs="Times New Roman"/>
          <w:lang w:eastAsia="en-GB"/>
        </w:rPr>
        <w:t>(</w:t>
      </w:r>
      <w:r w:rsidRPr="007546E5">
        <w:rPr>
          <w:rFonts w:ascii="Times New Roman" w:eastAsia="Times New Roman" w:hAnsi="Times New Roman" w:cs="Times New Roman"/>
          <w:lang w:eastAsia="en-GB"/>
        </w:rPr>
        <w:t>grassroots</w:t>
      </w:r>
      <w:r w:rsidR="009965E1">
        <w:rPr>
          <w:rFonts w:ascii="Times New Roman" w:eastAsia="Times New Roman" w:hAnsi="Times New Roman" w:cs="Times New Roman"/>
          <w:lang w:eastAsia="en-GB"/>
        </w:rPr>
        <w:t>)</w:t>
      </w:r>
      <w:r w:rsidRPr="007546E5">
        <w:rPr>
          <w:rFonts w:ascii="Times New Roman" w:eastAsia="Times New Roman" w:hAnsi="Times New Roman" w:cs="Times New Roman"/>
          <w:lang w:eastAsia="en-GB"/>
        </w:rPr>
        <w:t xml:space="preserve"> ili organizacija zasnovanih u zajednici, pa čak i pojedincima.</w:t>
      </w:r>
    </w:p>
    <w:p w14:paraId="00952712" w14:textId="6BF925A6" w:rsidR="00D7484E" w:rsidRPr="007546E5" w:rsidRDefault="00D7484E" w:rsidP="00D7484E">
      <w:pPr>
        <w:numPr>
          <w:ilvl w:val="0"/>
          <w:numId w:val="16"/>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 xml:space="preserve">Prije dodjele granta, ugovorno tijelo će provjeriti da li korisnik granta pruža odgovarajuće garancije u pogledu povraćaja sredstava prema Evropskoj komisiji. To je </w:t>
      </w:r>
      <w:r w:rsidR="008551F6">
        <w:rPr>
          <w:rFonts w:ascii="Times New Roman" w:eastAsia="Times New Roman" w:hAnsi="Times New Roman" w:cs="Times New Roman"/>
          <w:lang w:eastAsia="en-GB"/>
        </w:rPr>
        <w:t>iz razloga</w:t>
      </w:r>
      <w:r w:rsidRPr="007546E5">
        <w:rPr>
          <w:rFonts w:ascii="Times New Roman" w:eastAsia="Times New Roman" w:hAnsi="Times New Roman" w:cs="Times New Roman"/>
          <w:lang w:eastAsia="en-GB"/>
        </w:rPr>
        <w:t xml:space="preserve"> što korisnici granta ostaju finansijski odgovorni prema ugovornom tijelu za pravilno korišćenje finansijske podrške. </w:t>
      </w:r>
    </w:p>
    <w:p w14:paraId="75089B94" w14:textId="50BE1279" w:rsidR="00D7484E" w:rsidRPr="007546E5" w:rsidRDefault="00D7484E" w:rsidP="00D7484E">
      <w:pPr>
        <w:numPr>
          <w:ilvl w:val="0"/>
          <w:numId w:val="16"/>
        </w:numPr>
        <w:spacing w:before="100" w:beforeAutospacing="1" w:after="100" w:afterAutospacing="1" w:line="240" w:lineRule="auto"/>
        <w:jc w:val="both"/>
        <w:rPr>
          <w:rFonts w:ascii="Times New Roman" w:eastAsia="Times New Roman" w:hAnsi="Times New Roman" w:cs="Times New Roman"/>
          <w:b/>
          <w:lang w:eastAsia="en-GB"/>
        </w:rPr>
      </w:pPr>
      <w:r w:rsidRPr="007546E5">
        <w:rPr>
          <w:rFonts w:ascii="Times New Roman" w:eastAsia="Times New Roman" w:hAnsi="Times New Roman" w:cs="Times New Roman"/>
          <w:b/>
          <w:lang w:eastAsia="en-GB"/>
        </w:rPr>
        <w:t xml:space="preserve">Treća lica koja primaju finansijsku podršku od korisnika sredstava nijesu podložna istim kriterijumima prihvatljivosti kao oni koji se primjenjuju na korisnike sredstava i povezane subjekte u okviru ovog poziva za dostavljanje </w:t>
      </w:r>
      <w:r w:rsidR="002832D2" w:rsidRPr="007546E5">
        <w:rPr>
          <w:rFonts w:ascii="Times New Roman" w:eastAsia="Times New Roman" w:hAnsi="Times New Roman" w:cs="Times New Roman"/>
          <w:b/>
          <w:lang w:eastAsia="en-GB"/>
        </w:rPr>
        <w:t>prijedlog</w:t>
      </w:r>
      <w:r w:rsidRPr="007546E5">
        <w:rPr>
          <w:rFonts w:ascii="Times New Roman" w:eastAsia="Times New Roman" w:hAnsi="Times New Roman" w:cs="Times New Roman"/>
          <w:b/>
          <w:lang w:eastAsia="en-GB"/>
        </w:rPr>
        <w:t xml:space="preserve">a projekata. </w:t>
      </w:r>
    </w:p>
    <w:p w14:paraId="664565E4" w14:textId="77777777" w:rsidR="00D7484E" w:rsidRPr="007546E5" w:rsidRDefault="00D7484E" w:rsidP="00D7484E">
      <w:pPr>
        <w:numPr>
          <w:ilvl w:val="0"/>
          <w:numId w:val="16"/>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 xml:space="preserve">FSTP treba osmisliti na način da predstavlja </w:t>
      </w:r>
      <w:r w:rsidRPr="007546E5">
        <w:rPr>
          <w:rFonts w:ascii="Times New Roman" w:eastAsia="Times New Roman" w:hAnsi="Times New Roman" w:cs="Times New Roman"/>
          <w:b/>
          <w:lang w:eastAsia="en-GB"/>
        </w:rPr>
        <w:t>efikasan i jednostavan instrument</w:t>
      </w:r>
      <w:r w:rsidRPr="007546E5">
        <w:rPr>
          <w:rFonts w:ascii="Times New Roman" w:eastAsia="Times New Roman" w:hAnsi="Times New Roman" w:cs="Times New Roman"/>
          <w:lang w:eastAsia="en-GB"/>
        </w:rPr>
        <w:t xml:space="preserve"> za ostvarivanje ciljeva akcije. </w:t>
      </w:r>
    </w:p>
    <w:p w14:paraId="4A61CBF1" w14:textId="77777777" w:rsidR="001A1586" w:rsidRPr="007546E5" w:rsidRDefault="001A1586" w:rsidP="001A1586">
      <w:pPr>
        <w:pStyle w:val="NormalWeb"/>
        <w:jc w:val="both"/>
        <w:rPr>
          <w:sz w:val="22"/>
          <w:szCs w:val="22"/>
          <w:lang w:val="sr-Latn-ME"/>
        </w:rPr>
      </w:pPr>
      <w:r w:rsidRPr="007546E5">
        <w:rPr>
          <w:sz w:val="22"/>
          <w:szCs w:val="22"/>
          <w:lang w:val="sr-Latn-ME"/>
        </w:rPr>
        <w:t xml:space="preserve">Implementacioni partneri imaju određenu fleksibilnost da definišu </w:t>
      </w:r>
      <w:r w:rsidRPr="007546E5">
        <w:rPr>
          <w:b/>
          <w:sz w:val="22"/>
          <w:szCs w:val="22"/>
          <w:lang w:val="sr-Latn-ME"/>
        </w:rPr>
        <w:t>koje vrste prateće dokumentacije korisnici finansijske podrške trećim licima (FSTP) treba da dostave, kao što su računi ili izvještaji.</w:t>
      </w:r>
      <w:r w:rsidRPr="007546E5">
        <w:rPr>
          <w:sz w:val="22"/>
          <w:szCs w:val="22"/>
          <w:lang w:val="sr-Latn-ME"/>
        </w:rPr>
        <w:t xml:space="preserve"> Implementacionim partnerima je dozvoljeno da predlože ugovornom tijelu koji se dokumenti smatraju ključnim, kao i ko će ih čuvati. Revizori će se obraćati isključivo implementacionom partneru radi dostavljanja dokaza i dokumentacije, a ne korisniku FSTP.</w:t>
      </w:r>
    </w:p>
    <w:p w14:paraId="51421476" w14:textId="75CB93C6" w:rsidR="001A1586" w:rsidRPr="007546E5" w:rsidRDefault="001A1586" w:rsidP="001A1586">
      <w:pPr>
        <w:pStyle w:val="NormalWeb"/>
        <w:jc w:val="both"/>
        <w:rPr>
          <w:sz w:val="22"/>
          <w:szCs w:val="22"/>
          <w:lang w:val="sr-Latn-ME"/>
        </w:rPr>
      </w:pPr>
      <w:r w:rsidRPr="007546E5">
        <w:rPr>
          <w:sz w:val="22"/>
          <w:szCs w:val="22"/>
          <w:lang w:val="sr-Latn-ME"/>
        </w:rPr>
        <w:t>Izvještavanje zasnovano na rezultatima dozvoljeno je od strane EU u mjeri u kojoj nije potrebno dokazivanje troškova, već dokumentacija koja potvrđuje da je aktivnost sprovedena u skladu sa zahtjevima i da su odgovarajući rezultati ostvareni.</w:t>
      </w:r>
    </w:p>
    <w:p w14:paraId="6F17DD7D" w14:textId="77777777" w:rsidR="001A1586" w:rsidRPr="007546E5" w:rsidRDefault="001A1586" w:rsidP="001A1586">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Vidljivost</w:t>
      </w:r>
    </w:p>
    <w:p w14:paraId="634D8FA5" w14:textId="1AC72F2F" w:rsidR="001A1586" w:rsidRPr="007546E5" w:rsidRDefault="001A1586" w:rsidP="001A1586">
      <w:pPr>
        <w:pStyle w:val="NormalWeb"/>
        <w:jc w:val="both"/>
        <w:rPr>
          <w:sz w:val="22"/>
          <w:szCs w:val="22"/>
          <w:lang w:val="sr-Latn-ME"/>
        </w:rPr>
      </w:pPr>
      <w:r w:rsidRPr="007546E5">
        <w:rPr>
          <w:sz w:val="22"/>
          <w:szCs w:val="22"/>
          <w:lang w:val="sr-Latn-ME"/>
        </w:rPr>
        <w:t>Podnosioci prijava moraju preduzeti sve neophodne mjere kako bi obezbijedili vidljivost Evropske unije kao finansijera ili sufinansijera akcije, kroz pravilno i istaknuto prikazivanje amblema EU i odgovarajuće izjave o finansiranju.</w:t>
      </w:r>
      <w:r w:rsidR="000913AB">
        <w:rPr>
          <w:sz w:val="22"/>
          <w:szCs w:val="22"/>
          <w:lang w:val="sr-Latn-ME"/>
        </w:rPr>
        <w:t xml:space="preserve"> </w:t>
      </w:r>
      <w:r w:rsidRPr="007546E5">
        <w:rPr>
          <w:sz w:val="22"/>
          <w:szCs w:val="22"/>
          <w:lang w:val="sr-Latn-ME"/>
        </w:rPr>
        <w:t>Osim ako Evropska komisija ne odobri drugačije, akcije koje su u potpunosti ili djelimično finansirane od strane Evropske unije moraju obezbijediti vidljivost EU finansiranja prikazivanjem amblema EU u skladu sa smjernicama utvrđenim u Operativnim smjernicama za korisnike EU finansiranja, koje je objavila Evropska komisija.</w:t>
      </w:r>
    </w:p>
    <w:p w14:paraId="318C904C" w14:textId="43DA9808" w:rsidR="001A1586" w:rsidRPr="007546E5" w:rsidRDefault="001A1586" w:rsidP="001A1586">
      <w:pPr>
        <w:pStyle w:val="NormalWeb"/>
        <w:jc w:val="both"/>
        <w:rPr>
          <w:sz w:val="22"/>
          <w:szCs w:val="22"/>
          <w:lang w:val="sr-Latn-ME"/>
        </w:rPr>
      </w:pPr>
      <w:r w:rsidRPr="007546E5">
        <w:rPr>
          <w:sz w:val="22"/>
          <w:szCs w:val="22"/>
          <w:lang w:val="sr-Latn-ME"/>
        </w:rPr>
        <w:t>Sve mjere i aktivnosti koje se odnose na vidljivost i, gdje je primjenjivo, komunikaciju, moraju biti u skladu sa najnovijim Zahtjevima za komunikaciju i vidljivost za spoljne akcije finansirane od strane EU, koje utvrđuje i objavljuje Evropska komisija</w:t>
      </w:r>
      <w:r w:rsidR="002245BE" w:rsidRPr="007546E5">
        <w:rPr>
          <w:sz w:val="22"/>
          <w:szCs w:val="22"/>
          <w:lang w:val="sr-Latn-ME"/>
        </w:rPr>
        <w:t xml:space="preserve"> </w:t>
      </w:r>
      <w:hyperlink r:id="rId40" w:history="1">
        <w:r w:rsidR="002245BE" w:rsidRPr="007546E5">
          <w:rPr>
            <w:rStyle w:val="Hyperlink"/>
            <w:sz w:val="22"/>
            <w:szCs w:val="22"/>
            <w:lang w:val="sr-Latn-ME"/>
          </w:rPr>
          <w:t>Communication and Visibility Requirements for EU External Actions | International Partnerships (europa.eu)</w:t>
        </w:r>
      </w:hyperlink>
      <w:r w:rsidR="002245BE" w:rsidRPr="007546E5">
        <w:rPr>
          <w:sz w:val="22"/>
          <w:szCs w:val="22"/>
          <w:lang w:val="sr-Latn-ME"/>
        </w:rPr>
        <w:t>.</w:t>
      </w:r>
    </w:p>
    <w:p w14:paraId="2A8A5C3C" w14:textId="31EF007F" w:rsidR="001A1586" w:rsidRPr="007546E5" w:rsidRDefault="001A1586" w:rsidP="001A1586">
      <w:pPr>
        <w:pStyle w:val="NormalWeb"/>
        <w:jc w:val="both"/>
        <w:rPr>
          <w:sz w:val="22"/>
          <w:szCs w:val="22"/>
          <w:lang w:val="sr-Latn-ME"/>
        </w:rPr>
      </w:pPr>
      <w:r w:rsidRPr="007546E5">
        <w:rPr>
          <w:sz w:val="22"/>
          <w:szCs w:val="22"/>
          <w:lang w:val="sr-Latn-ME"/>
        </w:rPr>
        <w:t>Odstupanje od ugovornih obaveza u pogledu vidljivosti dozvoljeno je u izuzetnim situacijama, koje mogu biti potrebne u okviru ove akcije zbog bezbjednosnih pitanja za osoblje i korisnike, lokalnih političkih osjetljivosti ili kada je to u interesu korisnika ili ugovornog tijela. U takvim slučajevima, alati, proizvodi i kanali vidljivosti koji će se koristiti za promociju određene akcije biće definisani od slučaja do slučaja, u konsultaciji i uz saglasnost EU, prije ograničavanja vidljivosti EU.</w:t>
      </w:r>
      <w:r w:rsidR="002245BE" w:rsidRPr="007546E5">
        <w:rPr>
          <w:sz w:val="22"/>
          <w:szCs w:val="22"/>
          <w:lang w:val="sr-Latn-ME"/>
        </w:rPr>
        <w:t xml:space="preserve"> </w:t>
      </w:r>
      <w:r w:rsidRPr="007546E5">
        <w:rPr>
          <w:sz w:val="22"/>
          <w:szCs w:val="22"/>
          <w:lang w:val="sr-Latn-ME"/>
        </w:rPr>
        <w:t>Zahtjevi za odstupanje od ugovornih obaveza u pogledu vidljivosti moraju biti uključeni u Aneks A.2 – Obrazac kompletne prijave i pregovaraju se kao dio Posebnih uslova ugovora.</w:t>
      </w:r>
    </w:p>
    <w:p w14:paraId="15A6180F" w14:textId="77777777" w:rsidR="002245BE" w:rsidRPr="007546E5" w:rsidRDefault="002245BE" w:rsidP="002245BE">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Broj prijava i grantova po podnosiocu prijave / povezanim subjektima</w:t>
      </w:r>
    </w:p>
    <w:p w14:paraId="1FF5A9CE" w14:textId="381A536A" w:rsidR="002245BE" w:rsidRPr="007546E5" w:rsidRDefault="002245BE" w:rsidP="002245BE">
      <w:pPr>
        <w:pStyle w:val="NormalWeb"/>
        <w:jc w:val="both"/>
        <w:rPr>
          <w:sz w:val="22"/>
          <w:szCs w:val="22"/>
          <w:lang w:val="sr-Latn-ME"/>
        </w:rPr>
      </w:pPr>
      <w:r w:rsidRPr="007546E5">
        <w:rPr>
          <w:sz w:val="22"/>
          <w:szCs w:val="22"/>
          <w:lang w:val="sr-Latn-ME"/>
        </w:rPr>
        <w:t xml:space="preserve">Vodeći podnosilac prijave </w:t>
      </w:r>
      <w:r w:rsidRPr="007546E5">
        <w:rPr>
          <w:b/>
          <w:sz w:val="22"/>
          <w:szCs w:val="22"/>
          <w:lang w:val="sr-Latn-ME"/>
        </w:rPr>
        <w:t>ne može</w:t>
      </w:r>
      <w:r w:rsidRPr="007546E5">
        <w:rPr>
          <w:sz w:val="22"/>
          <w:szCs w:val="22"/>
          <w:lang w:val="sr-Latn-ME"/>
        </w:rPr>
        <w:t xml:space="preserve"> podnijeti više od jedne prijave po lotu u okviru ovog poziva za dostavljanje </w:t>
      </w:r>
      <w:r w:rsidR="002832D2" w:rsidRPr="007546E5">
        <w:rPr>
          <w:sz w:val="22"/>
          <w:szCs w:val="22"/>
          <w:lang w:val="sr-Latn-ME"/>
        </w:rPr>
        <w:t>prijedlog</w:t>
      </w:r>
      <w:r w:rsidRPr="007546E5">
        <w:rPr>
          <w:sz w:val="22"/>
          <w:szCs w:val="22"/>
          <w:lang w:val="sr-Latn-ME"/>
        </w:rPr>
        <w:t>a projekata.</w:t>
      </w:r>
    </w:p>
    <w:p w14:paraId="2E7FF9B6" w14:textId="22F70CE6" w:rsidR="002245BE" w:rsidRPr="007546E5" w:rsidRDefault="002245BE" w:rsidP="002245BE">
      <w:pPr>
        <w:pStyle w:val="NormalWeb"/>
        <w:jc w:val="both"/>
        <w:rPr>
          <w:sz w:val="22"/>
          <w:szCs w:val="22"/>
          <w:lang w:val="sr-Latn-ME"/>
        </w:rPr>
      </w:pPr>
      <w:r w:rsidRPr="007546E5">
        <w:rPr>
          <w:sz w:val="22"/>
          <w:szCs w:val="22"/>
          <w:lang w:val="sr-Latn-ME"/>
        </w:rPr>
        <w:t xml:space="preserve">Vodeći podnosilac prijave </w:t>
      </w:r>
      <w:r w:rsidRPr="007546E5">
        <w:rPr>
          <w:b/>
          <w:sz w:val="22"/>
          <w:szCs w:val="22"/>
          <w:lang w:val="sr-Latn-ME"/>
        </w:rPr>
        <w:t>ne može</w:t>
      </w:r>
      <w:r w:rsidRPr="007546E5">
        <w:rPr>
          <w:sz w:val="22"/>
          <w:szCs w:val="22"/>
          <w:lang w:val="sr-Latn-ME"/>
        </w:rPr>
        <w:t xml:space="preserve"> dobiti više od jednog granta u okviru ovog poziva za dostavljanje </w:t>
      </w:r>
      <w:r w:rsidR="002832D2" w:rsidRPr="007546E5">
        <w:rPr>
          <w:sz w:val="22"/>
          <w:szCs w:val="22"/>
          <w:lang w:val="sr-Latn-ME"/>
        </w:rPr>
        <w:t>prijedlog</w:t>
      </w:r>
      <w:r w:rsidRPr="007546E5">
        <w:rPr>
          <w:sz w:val="22"/>
          <w:szCs w:val="22"/>
          <w:lang w:val="sr-Latn-ME"/>
        </w:rPr>
        <w:t>a projekata.</w:t>
      </w:r>
    </w:p>
    <w:p w14:paraId="7E9B8598" w14:textId="77777777" w:rsidR="002245BE" w:rsidRPr="007546E5" w:rsidRDefault="002245BE" w:rsidP="002245BE">
      <w:pPr>
        <w:pStyle w:val="NormalWeb"/>
        <w:jc w:val="both"/>
        <w:rPr>
          <w:sz w:val="22"/>
          <w:szCs w:val="22"/>
          <w:lang w:val="sr-Latn-ME"/>
        </w:rPr>
      </w:pPr>
      <w:r w:rsidRPr="007546E5">
        <w:rPr>
          <w:sz w:val="22"/>
          <w:szCs w:val="22"/>
          <w:lang w:val="sr-Latn-ME"/>
        </w:rPr>
        <w:lastRenderedPageBreak/>
        <w:t>Vodeći podnosilac prijave može istovremeno biti su-podnosilac prijave ili povezani subjekt u drugoj prijavi u okviru drugog lota.</w:t>
      </w:r>
    </w:p>
    <w:p w14:paraId="2F610730" w14:textId="4CDC10BA" w:rsidR="002245BE" w:rsidRPr="007546E5" w:rsidRDefault="002245BE" w:rsidP="002245BE">
      <w:pPr>
        <w:pStyle w:val="NormalWeb"/>
        <w:jc w:val="both"/>
        <w:rPr>
          <w:sz w:val="22"/>
          <w:szCs w:val="22"/>
          <w:lang w:val="sr-Latn-ME"/>
        </w:rPr>
      </w:pPr>
      <w:r w:rsidRPr="007546E5">
        <w:rPr>
          <w:sz w:val="22"/>
          <w:szCs w:val="22"/>
          <w:lang w:val="sr-Latn-ME"/>
        </w:rPr>
        <w:t xml:space="preserve">Su-podnosilac prijave/povezani subjekt može biti su-podnosilac prijave ili povezani subjekt u najviše 2 prijave u okviru ovog poziva za dostavljanje </w:t>
      </w:r>
      <w:r w:rsidR="002832D2" w:rsidRPr="007546E5">
        <w:rPr>
          <w:sz w:val="22"/>
          <w:szCs w:val="22"/>
          <w:lang w:val="sr-Latn-ME"/>
        </w:rPr>
        <w:t>prijedlog</w:t>
      </w:r>
      <w:r w:rsidRPr="007546E5">
        <w:rPr>
          <w:sz w:val="22"/>
          <w:szCs w:val="22"/>
          <w:lang w:val="sr-Latn-ME"/>
        </w:rPr>
        <w:t>a projekata (najviše jedna po lotu).</w:t>
      </w:r>
    </w:p>
    <w:p w14:paraId="796C32B0" w14:textId="43B4614D" w:rsidR="002245BE" w:rsidRPr="007546E5" w:rsidRDefault="002245BE" w:rsidP="002245BE">
      <w:pPr>
        <w:pStyle w:val="NormalWeb"/>
        <w:jc w:val="both"/>
        <w:rPr>
          <w:sz w:val="22"/>
          <w:szCs w:val="22"/>
          <w:lang w:val="sr-Latn-ME"/>
        </w:rPr>
      </w:pPr>
      <w:r w:rsidRPr="007546E5">
        <w:rPr>
          <w:sz w:val="22"/>
          <w:szCs w:val="22"/>
          <w:lang w:val="sr-Latn-ME"/>
        </w:rPr>
        <w:t xml:space="preserve">Su-podnosilac prijave/povezani subjekt može dobiti najviše 2 granta u okviru ovog poziva za dostavljanje </w:t>
      </w:r>
      <w:r w:rsidR="002832D2" w:rsidRPr="007546E5">
        <w:rPr>
          <w:sz w:val="22"/>
          <w:szCs w:val="22"/>
          <w:lang w:val="sr-Latn-ME"/>
        </w:rPr>
        <w:t>prijedlog</w:t>
      </w:r>
      <w:r w:rsidRPr="007546E5">
        <w:rPr>
          <w:sz w:val="22"/>
          <w:szCs w:val="22"/>
          <w:lang w:val="sr-Latn-ME"/>
        </w:rPr>
        <w:t>a projekata.</w:t>
      </w:r>
    </w:p>
    <w:p w14:paraId="46E170F7" w14:textId="77777777" w:rsidR="002245BE" w:rsidRPr="007546E5" w:rsidRDefault="002245BE" w:rsidP="002245BE">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Oblik granta</w:t>
      </w:r>
    </w:p>
    <w:p w14:paraId="51B78447" w14:textId="4513DBF1" w:rsidR="002245BE" w:rsidRPr="007546E5" w:rsidRDefault="002245BE" w:rsidP="002245BE">
      <w:pPr>
        <w:pStyle w:val="NormalWeb"/>
        <w:jc w:val="both"/>
        <w:rPr>
          <w:sz w:val="22"/>
          <w:szCs w:val="22"/>
          <w:lang w:val="sr-Latn-ME"/>
        </w:rPr>
      </w:pPr>
      <w:r w:rsidRPr="007546E5">
        <w:rPr>
          <w:sz w:val="22"/>
          <w:szCs w:val="22"/>
          <w:lang w:val="sr-Latn-ME"/>
        </w:rPr>
        <w:t xml:space="preserve">Grantovi koji se dodjeljuju u okviru ovog poziva za dostavljanje </w:t>
      </w:r>
      <w:r w:rsidR="002832D2" w:rsidRPr="007546E5">
        <w:rPr>
          <w:sz w:val="22"/>
          <w:szCs w:val="22"/>
          <w:lang w:val="sr-Latn-ME"/>
        </w:rPr>
        <w:t>prijedlog</w:t>
      </w:r>
      <w:r w:rsidRPr="007546E5">
        <w:rPr>
          <w:sz w:val="22"/>
          <w:szCs w:val="22"/>
          <w:lang w:val="sr-Latn-ME"/>
        </w:rPr>
        <w:t>a projekata imaju sljedeći oblik(e):</w:t>
      </w:r>
    </w:p>
    <w:p w14:paraId="085A7BC0" w14:textId="77777777" w:rsidR="002245BE" w:rsidRPr="007546E5" w:rsidRDefault="002245BE" w:rsidP="002245BE">
      <w:pPr>
        <w:numPr>
          <w:ilvl w:val="0"/>
          <w:numId w:val="17"/>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nadoknada prihvatljivih troškova koja može biti zasnovana na jednom ili kombinaciji sljedećih oblika: </w:t>
      </w:r>
    </w:p>
    <w:p w14:paraId="3C380801" w14:textId="4C97DF96" w:rsidR="002245BE" w:rsidRPr="007546E5" w:rsidRDefault="002245BE" w:rsidP="002245BE">
      <w:pPr>
        <w:pStyle w:val="NormalWeb"/>
        <w:numPr>
          <w:ilvl w:val="1"/>
          <w:numId w:val="17"/>
        </w:numPr>
        <w:jc w:val="both"/>
        <w:rPr>
          <w:sz w:val="22"/>
          <w:szCs w:val="22"/>
          <w:lang w:val="sr-Latn-ME"/>
        </w:rPr>
      </w:pPr>
      <w:r w:rsidRPr="007546E5">
        <w:rPr>
          <w:sz w:val="22"/>
          <w:szCs w:val="22"/>
          <w:lang w:val="sr-Latn-ME"/>
        </w:rPr>
        <w:t>stvarni troškovi koje imaju korisnik(ci) i povezani subjekt(i)</w:t>
      </w:r>
    </w:p>
    <w:p w14:paraId="38F2D444" w14:textId="09285EB7" w:rsidR="002245BE" w:rsidRPr="007546E5" w:rsidRDefault="002245BE" w:rsidP="003F62E7">
      <w:pPr>
        <w:pStyle w:val="NormalWeb"/>
        <w:numPr>
          <w:ilvl w:val="1"/>
          <w:numId w:val="17"/>
        </w:numPr>
        <w:jc w:val="both"/>
        <w:rPr>
          <w:sz w:val="22"/>
          <w:szCs w:val="22"/>
          <w:lang w:val="sr-Latn-ME"/>
        </w:rPr>
      </w:pPr>
      <w:r w:rsidRPr="007546E5">
        <w:rPr>
          <w:sz w:val="22"/>
          <w:szCs w:val="22"/>
          <w:lang w:val="sr-Latn-ME"/>
        </w:rPr>
        <w:t>jedna ili više pojednostavljenih opcija troškova (vidjeti odjeljak 2.1.4).</w:t>
      </w:r>
    </w:p>
    <w:p w14:paraId="1B5B0CC4" w14:textId="77777777" w:rsidR="003F62E7" w:rsidRPr="007546E5" w:rsidRDefault="003F62E7" w:rsidP="003F62E7">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2.1.4. Prihvatljivost troškova i prihvatljivost rezultata/uslova</w:t>
      </w:r>
    </w:p>
    <w:p w14:paraId="0F057CD8" w14:textId="77777777" w:rsidR="003F62E7" w:rsidRPr="007546E5" w:rsidRDefault="003F62E7" w:rsidP="003F62E7">
      <w:pPr>
        <w:pStyle w:val="Heading4"/>
        <w:jc w:val="both"/>
        <w:rPr>
          <w:rFonts w:ascii="Times New Roman" w:hAnsi="Times New Roman" w:cs="Times New Roman"/>
          <w:i w:val="0"/>
          <w:color w:val="auto"/>
        </w:rPr>
      </w:pPr>
      <w:r w:rsidRPr="007546E5">
        <w:rPr>
          <w:rStyle w:val="Strong"/>
          <w:rFonts w:ascii="Times New Roman" w:hAnsi="Times New Roman" w:cs="Times New Roman"/>
          <w:b w:val="0"/>
          <w:bCs w:val="0"/>
          <w:i w:val="0"/>
          <w:color w:val="auto"/>
        </w:rPr>
        <w:t>Nadoknada troškova</w:t>
      </w:r>
    </w:p>
    <w:p w14:paraId="60932DF1" w14:textId="77777777" w:rsidR="003F62E7" w:rsidRPr="007546E5" w:rsidRDefault="003F62E7" w:rsidP="003F62E7">
      <w:pPr>
        <w:pStyle w:val="NormalWeb"/>
        <w:jc w:val="both"/>
        <w:rPr>
          <w:sz w:val="22"/>
          <w:szCs w:val="22"/>
          <w:lang w:val="sr-Latn-ME"/>
        </w:rPr>
      </w:pPr>
      <w:r w:rsidRPr="007546E5">
        <w:rPr>
          <w:sz w:val="22"/>
          <w:szCs w:val="22"/>
          <w:lang w:val="sr-Latn-ME"/>
        </w:rPr>
        <w:t>U slučajevima kada se grant dodjeljuje u obliku nadoknade troškova (u cjelini ili djelimično), grant može pokrivati isključivo „prihvatljive troškove“. Kategorije prihvatljivih i neprihvatljivih troškova navedene su u nastavku. Budžet predstavlja istovremeno procjenu troškova i ukupnu gornju granicu za „prihvatljive troškove“.</w:t>
      </w:r>
    </w:p>
    <w:p w14:paraId="4FBA0980" w14:textId="1A9C76C5" w:rsidR="003F62E7" w:rsidRPr="007546E5" w:rsidRDefault="003F62E7" w:rsidP="003F62E7">
      <w:pPr>
        <w:pStyle w:val="NormalWeb"/>
        <w:jc w:val="both"/>
        <w:rPr>
          <w:sz w:val="22"/>
          <w:szCs w:val="22"/>
          <w:lang w:val="sr-Latn-ME"/>
        </w:rPr>
      </w:pPr>
      <w:r w:rsidRPr="007546E5">
        <w:rPr>
          <w:sz w:val="22"/>
          <w:szCs w:val="22"/>
          <w:lang w:val="sr-Latn-ME"/>
        </w:rPr>
        <w:t>Prihvatljivi troškovi mogu se nadoknaditi kao stvarni troškovi</w:t>
      </w:r>
      <w:r w:rsidRPr="007546E5">
        <w:rPr>
          <w:rStyle w:val="FootnoteReference"/>
          <w:sz w:val="22"/>
          <w:szCs w:val="22"/>
          <w:lang w:val="sr-Latn-ME"/>
        </w:rPr>
        <w:footnoteReference w:id="18"/>
      </w:r>
      <w:r w:rsidRPr="007546E5">
        <w:rPr>
          <w:sz w:val="22"/>
          <w:szCs w:val="22"/>
          <w:lang w:val="sr-Latn-ME"/>
        </w:rPr>
        <w:t>.</w:t>
      </w:r>
    </w:p>
    <w:p w14:paraId="2F0B54AF" w14:textId="77777777" w:rsidR="003F62E7" w:rsidRPr="007546E5" w:rsidRDefault="003F62E7" w:rsidP="003F62E7">
      <w:pPr>
        <w:pStyle w:val="Heading4"/>
        <w:jc w:val="both"/>
        <w:rPr>
          <w:rFonts w:ascii="Times New Roman" w:hAnsi="Times New Roman" w:cs="Times New Roman"/>
          <w:i w:val="0"/>
          <w:color w:val="auto"/>
          <w:u w:val="single"/>
        </w:rPr>
      </w:pPr>
      <w:r w:rsidRPr="007546E5">
        <w:rPr>
          <w:rStyle w:val="Strong"/>
          <w:rFonts w:ascii="Times New Roman" w:hAnsi="Times New Roman" w:cs="Times New Roman"/>
          <w:b w:val="0"/>
          <w:bCs w:val="0"/>
          <w:i w:val="0"/>
          <w:color w:val="auto"/>
          <w:u w:val="single"/>
        </w:rPr>
        <w:t>Prihvatljivi direktni troškovi</w:t>
      </w:r>
    </w:p>
    <w:p w14:paraId="60BC879A" w14:textId="0AA43B10" w:rsidR="003F62E7" w:rsidRPr="007546E5" w:rsidRDefault="003F62E7" w:rsidP="003F62E7">
      <w:pPr>
        <w:pStyle w:val="NormalWeb"/>
        <w:jc w:val="both"/>
        <w:rPr>
          <w:sz w:val="22"/>
          <w:szCs w:val="22"/>
          <w:lang w:val="sr-Latn-ME"/>
        </w:rPr>
      </w:pPr>
      <w:r w:rsidRPr="007546E5">
        <w:rPr>
          <w:sz w:val="22"/>
          <w:szCs w:val="22"/>
          <w:lang w:val="sr-Latn-ME"/>
        </w:rPr>
        <w:t xml:space="preserve">Da bi troškovi bili prihvatljivi u okviru ovog poziva za dostavljanje </w:t>
      </w:r>
      <w:r w:rsidR="002832D2" w:rsidRPr="007546E5">
        <w:rPr>
          <w:sz w:val="22"/>
          <w:szCs w:val="22"/>
          <w:lang w:val="sr-Latn-ME"/>
        </w:rPr>
        <w:t>prijedlog</w:t>
      </w:r>
      <w:r w:rsidRPr="007546E5">
        <w:rPr>
          <w:sz w:val="22"/>
          <w:szCs w:val="22"/>
          <w:lang w:val="sr-Latn-ME"/>
        </w:rPr>
        <w:t xml:space="preserve">a projekata, moraju biti u skladu sa odredbama člana 14 Opštih uslova standardnog ugovora o grantu (vidjeti Aneks G </w:t>
      </w:r>
      <w:r w:rsidR="00F525EE">
        <w:rPr>
          <w:sz w:val="22"/>
          <w:szCs w:val="22"/>
          <w:lang w:val="sr-Latn-ME"/>
        </w:rPr>
        <w:t>ovih s</w:t>
      </w:r>
      <w:r w:rsidRPr="007546E5">
        <w:rPr>
          <w:sz w:val="22"/>
          <w:szCs w:val="22"/>
          <w:lang w:val="sr-Latn-ME"/>
        </w:rPr>
        <w:t>mjernica).</w:t>
      </w:r>
    </w:p>
    <w:p w14:paraId="3BAB0A78" w14:textId="77777777" w:rsidR="003F62E7" w:rsidRPr="007546E5" w:rsidRDefault="003F62E7" w:rsidP="003F62E7">
      <w:pPr>
        <w:pStyle w:val="NormalWeb"/>
        <w:jc w:val="both"/>
        <w:rPr>
          <w:sz w:val="22"/>
          <w:szCs w:val="22"/>
          <w:lang w:val="sr-Latn-ME"/>
        </w:rPr>
      </w:pPr>
      <w:r w:rsidRPr="007546E5">
        <w:rPr>
          <w:sz w:val="22"/>
          <w:szCs w:val="22"/>
          <w:lang w:val="sr-Latn-ME"/>
        </w:rPr>
        <w:t>Preporuke za dodjelu granta uvijek su uslovljene time da provjere koje prethode potpisivanju ugovora o grantu ne otkriju probleme koji zahtijevaju izmjene budžeta (kao što su aritmetičke greške, netačnosti, nerealni troškovi i neprihvatljivi troškovi). Ove provjere mogu dovesti do zahtjeva za pojašnjenjem i mogu rezultirati time da ugovorno tijelo nametne izmjene ili smanjenja kako bi se ispravile takve greške ili netačnosti. Nije moguće povećati iznos granta ili procenat sufinansiranja od strane EU kao rezultat ovih korekcija.</w:t>
      </w:r>
    </w:p>
    <w:p w14:paraId="1C9EE5E4" w14:textId="4B5B43BE" w:rsidR="003F62E7" w:rsidRPr="007546E5" w:rsidRDefault="003F62E7" w:rsidP="003F62E7">
      <w:pPr>
        <w:pStyle w:val="NormalWeb"/>
        <w:jc w:val="both"/>
        <w:rPr>
          <w:sz w:val="22"/>
          <w:szCs w:val="22"/>
          <w:lang w:val="sr-Latn-ME"/>
        </w:rPr>
      </w:pPr>
      <w:r w:rsidRPr="007546E5">
        <w:rPr>
          <w:sz w:val="22"/>
          <w:szCs w:val="22"/>
          <w:lang w:val="sr-Latn-ME"/>
        </w:rPr>
        <w:t xml:space="preserve">Stoga je u interesu podnosilaca prijava da dostave </w:t>
      </w:r>
      <w:r w:rsidRPr="007546E5">
        <w:rPr>
          <w:b/>
          <w:sz w:val="22"/>
          <w:szCs w:val="22"/>
          <w:lang w:val="sr-Latn-ME"/>
        </w:rPr>
        <w:t>realan i troškovno efikasan budžet</w:t>
      </w:r>
      <w:r w:rsidRPr="007546E5">
        <w:rPr>
          <w:sz w:val="22"/>
          <w:szCs w:val="22"/>
          <w:lang w:val="sr-Latn-ME"/>
        </w:rPr>
        <w:t>.</w:t>
      </w:r>
    </w:p>
    <w:p w14:paraId="78363715" w14:textId="77777777" w:rsidR="003C4217" w:rsidRPr="007546E5" w:rsidRDefault="003C4217" w:rsidP="003C4217">
      <w:pPr>
        <w:pStyle w:val="Heading3"/>
        <w:jc w:val="both"/>
        <w:rPr>
          <w:rFonts w:ascii="Times New Roman" w:hAnsi="Times New Roman" w:cs="Times New Roman"/>
          <w:color w:val="auto"/>
          <w:sz w:val="22"/>
          <w:szCs w:val="22"/>
          <w:u w:val="single"/>
        </w:rPr>
      </w:pPr>
      <w:r w:rsidRPr="007546E5">
        <w:rPr>
          <w:rStyle w:val="Strong"/>
          <w:rFonts w:ascii="Times New Roman" w:hAnsi="Times New Roman" w:cs="Times New Roman"/>
          <w:b w:val="0"/>
          <w:bCs w:val="0"/>
          <w:color w:val="auto"/>
          <w:sz w:val="22"/>
          <w:szCs w:val="22"/>
          <w:u w:val="single"/>
        </w:rPr>
        <w:lastRenderedPageBreak/>
        <w:t>Rezerva za nepredviđene troškove</w:t>
      </w:r>
    </w:p>
    <w:p w14:paraId="46AEC8D2" w14:textId="05CB5507" w:rsidR="003C4217" w:rsidRPr="007546E5" w:rsidRDefault="003C4217" w:rsidP="003C4217">
      <w:pPr>
        <w:pStyle w:val="NormalWeb"/>
        <w:jc w:val="both"/>
        <w:rPr>
          <w:sz w:val="22"/>
          <w:szCs w:val="22"/>
          <w:lang w:val="sr-Latn-ME"/>
        </w:rPr>
      </w:pPr>
      <w:r w:rsidRPr="007546E5">
        <w:rPr>
          <w:sz w:val="22"/>
          <w:szCs w:val="22"/>
          <w:lang w:val="sr-Latn-ME"/>
        </w:rPr>
        <w:t xml:space="preserve">Budžet može uključivati rezervu za nepredviđene troškove koja ne prelazi 5 % procijenjenih direktnih prihvatljivih troškova. Ona se može koristiti isključivo uz </w:t>
      </w:r>
      <w:r w:rsidRPr="00F525EE">
        <w:rPr>
          <w:b/>
          <w:sz w:val="22"/>
          <w:szCs w:val="22"/>
          <w:lang w:val="sr-Latn-ME"/>
        </w:rPr>
        <w:t>prethodno pisano odobrenje</w:t>
      </w:r>
      <w:r w:rsidRPr="007546E5">
        <w:rPr>
          <w:sz w:val="22"/>
          <w:szCs w:val="22"/>
          <w:lang w:val="sr-Latn-ME"/>
        </w:rPr>
        <w:t xml:space="preserve"> ugovornog tijela.</w:t>
      </w:r>
    </w:p>
    <w:p w14:paraId="3A5AF110" w14:textId="77777777" w:rsidR="003C4217" w:rsidRPr="007546E5" w:rsidRDefault="003C4217" w:rsidP="003C4217">
      <w:pPr>
        <w:pStyle w:val="Heading3"/>
        <w:jc w:val="both"/>
        <w:rPr>
          <w:rFonts w:ascii="Times New Roman" w:hAnsi="Times New Roman" w:cs="Times New Roman"/>
          <w:color w:val="auto"/>
          <w:sz w:val="22"/>
          <w:szCs w:val="22"/>
          <w:u w:val="single"/>
        </w:rPr>
      </w:pPr>
      <w:r w:rsidRPr="007546E5">
        <w:rPr>
          <w:rStyle w:val="Strong"/>
          <w:rFonts w:ascii="Times New Roman" w:hAnsi="Times New Roman" w:cs="Times New Roman"/>
          <w:b w:val="0"/>
          <w:bCs w:val="0"/>
          <w:color w:val="auto"/>
          <w:sz w:val="22"/>
          <w:szCs w:val="22"/>
          <w:u w:val="single"/>
        </w:rPr>
        <w:t>Prihvatljivi indirektni troškovi</w:t>
      </w:r>
    </w:p>
    <w:p w14:paraId="76444103" w14:textId="5B516233" w:rsidR="003C4217" w:rsidRPr="007546E5" w:rsidRDefault="003C4217" w:rsidP="003C4217">
      <w:pPr>
        <w:pStyle w:val="NormalWeb"/>
        <w:jc w:val="both"/>
        <w:rPr>
          <w:sz w:val="22"/>
          <w:szCs w:val="22"/>
          <w:lang w:val="sr-Latn-ME"/>
        </w:rPr>
      </w:pPr>
      <w:r w:rsidRPr="007546E5">
        <w:rPr>
          <w:sz w:val="22"/>
          <w:szCs w:val="22"/>
          <w:lang w:val="sr-Latn-ME"/>
        </w:rPr>
        <w:t xml:space="preserve">Indirektni troškovi nastali tokom sprovođenja akcije mogu biti prihvatljivi za finansiranje po paušalnoj stopi, ali njihov ukupan iznos ne smije prelaziti 7 % procijenjenih ukupnih direktnih prihvatljivih troškova (izuzev troškova volontera i troškova kancelarije projekta) (u slučaju akcija koje uključuju i finansiranje koje nije povezano sa troškovima, obračun se vrši na osnovu dijela zasnovanog na troškovima). Indirektni troškovi su prihvatljivi pod uslovom da ne uključuju troškove koji su već obuhvaćeni drugom budžetskom stavkom u standardnom ugovoru o grantu. </w:t>
      </w:r>
      <w:r w:rsidR="00C35895">
        <w:rPr>
          <w:sz w:val="22"/>
          <w:szCs w:val="22"/>
          <w:lang w:val="sr-Latn-ME"/>
        </w:rPr>
        <w:t>Od v</w:t>
      </w:r>
      <w:r w:rsidRPr="007546E5">
        <w:rPr>
          <w:sz w:val="22"/>
          <w:szCs w:val="22"/>
          <w:lang w:val="sr-Latn-ME"/>
        </w:rPr>
        <w:t>odeć</w:t>
      </w:r>
      <w:r w:rsidR="00C35895">
        <w:rPr>
          <w:sz w:val="22"/>
          <w:szCs w:val="22"/>
          <w:lang w:val="sr-Latn-ME"/>
        </w:rPr>
        <w:t>eg</w:t>
      </w:r>
      <w:r w:rsidRPr="007546E5">
        <w:rPr>
          <w:sz w:val="22"/>
          <w:szCs w:val="22"/>
          <w:lang w:val="sr-Latn-ME"/>
        </w:rPr>
        <w:t xml:space="preserve"> podnosi</w:t>
      </w:r>
      <w:r w:rsidR="00C35895">
        <w:rPr>
          <w:sz w:val="22"/>
          <w:szCs w:val="22"/>
          <w:lang w:val="sr-Latn-ME"/>
        </w:rPr>
        <w:t>oca</w:t>
      </w:r>
      <w:r w:rsidRPr="007546E5">
        <w:rPr>
          <w:sz w:val="22"/>
          <w:szCs w:val="22"/>
          <w:lang w:val="sr-Latn-ME"/>
        </w:rPr>
        <w:t xml:space="preserve"> prijave može </w:t>
      </w:r>
      <w:r w:rsidR="00C35895">
        <w:rPr>
          <w:sz w:val="22"/>
          <w:szCs w:val="22"/>
          <w:lang w:val="sr-Latn-ME"/>
        </w:rPr>
        <w:t xml:space="preserve">se </w:t>
      </w:r>
      <w:r w:rsidRPr="007546E5">
        <w:rPr>
          <w:sz w:val="22"/>
          <w:szCs w:val="22"/>
          <w:lang w:val="sr-Latn-ME"/>
        </w:rPr>
        <w:t>zatraž</w:t>
      </w:r>
      <w:r w:rsidR="00C35895">
        <w:rPr>
          <w:sz w:val="22"/>
          <w:szCs w:val="22"/>
          <w:lang w:val="sr-Latn-ME"/>
        </w:rPr>
        <w:t>iti</w:t>
      </w:r>
      <w:r w:rsidRPr="007546E5">
        <w:rPr>
          <w:sz w:val="22"/>
          <w:szCs w:val="22"/>
          <w:lang w:val="sr-Latn-ME"/>
        </w:rPr>
        <w:t xml:space="preserve"> da obrazloži traženi procenat prije potpisivanja ugovora o grantu. Međutim, nakon što se paušalna stopa utvrdi u posebnim uslovima ugovora o grantu, nije potrebno dostavljati prateću dokumentaciju.</w:t>
      </w:r>
    </w:p>
    <w:p w14:paraId="29D7FF11" w14:textId="0EB3D156" w:rsidR="003C4217" w:rsidRPr="007546E5" w:rsidRDefault="003C4217" w:rsidP="003C4217">
      <w:pPr>
        <w:pStyle w:val="NormalWeb"/>
        <w:jc w:val="both"/>
        <w:rPr>
          <w:sz w:val="22"/>
          <w:szCs w:val="22"/>
          <w:lang w:val="sr-Latn-ME"/>
        </w:rPr>
      </w:pPr>
      <w:r w:rsidRPr="007546E5">
        <w:rPr>
          <w:sz w:val="22"/>
          <w:szCs w:val="22"/>
          <w:lang w:val="sr-Latn-ME"/>
        </w:rPr>
        <w:t>Ukoliko bilo koji od podnosilaca prijava ili povezanih subjekata prima operativni grant finansiran od strane EU, ne može potraživati indirektne troškove u okviru troškova koje je imao u predloženom budžetu za akciju.</w:t>
      </w:r>
    </w:p>
    <w:p w14:paraId="5E6101BF" w14:textId="77777777" w:rsidR="003C4217" w:rsidRPr="007546E5" w:rsidRDefault="003C4217" w:rsidP="003C4217">
      <w:pPr>
        <w:pStyle w:val="Heading3"/>
        <w:rPr>
          <w:rFonts w:ascii="Times New Roman" w:hAnsi="Times New Roman" w:cs="Times New Roman"/>
          <w:color w:val="auto"/>
          <w:sz w:val="22"/>
          <w:szCs w:val="22"/>
          <w:u w:val="single"/>
        </w:rPr>
      </w:pPr>
      <w:r w:rsidRPr="007546E5">
        <w:rPr>
          <w:rStyle w:val="Strong"/>
          <w:rFonts w:ascii="Times New Roman" w:hAnsi="Times New Roman" w:cs="Times New Roman"/>
          <w:b w:val="0"/>
          <w:bCs w:val="0"/>
          <w:color w:val="auto"/>
          <w:sz w:val="22"/>
          <w:szCs w:val="22"/>
          <w:u w:val="single"/>
        </w:rPr>
        <w:t>Doprinosi u naturi</w:t>
      </w:r>
    </w:p>
    <w:p w14:paraId="4A8CDCAB" w14:textId="77777777" w:rsidR="003C4217" w:rsidRPr="007546E5" w:rsidRDefault="003C4217" w:rsidP="003C4217">
      <w:pPr>
        <w:pStyle w:val="NormalWeb"/>
        <w:jc w:val="both"/>
        <w:rPr>
          <w:sz w:val="22"/>
          <w:szCs w:val="22"/>
          <w:lang w:val="sr-Latn-ME"/>
        </w:rPr>
      </w:pPr>
      <w:r w:rsidRPr="007546E5">
        <w:rPr>
          <w:sz w:val="22"/>
          <w:szCs w:val="22"/>
          <w:lang w:val="sr-Latn-ME"/>
        </w:rPr>
        <w:t>Doprinosi u naturi podrazumijevaju pružanje dobara ili usluga korisnicima sredstava ili povezanim subjektima bez naknade od strane trećih lica. Kako doprinosi u naturi ne podrazumijevaju stvarni trošak za korisnike sredstava ili povezane subjekte, oni se ne smatraju prihvatljivim troškovima (izuzev troškova osoblja za rad koji obavljaju volonteri u okviru akcije ili operativnog granta, ukoliko je to odobreno).</w:t>
      </w:r>
    </w:p>
    <w:p w14:paraId="18FA759F" w14:textId="77777777" w:rsidR="003C4217" w:rsidRPr="007546E5" w:rsidRDefault="003C4217" w:rsidP="003C4217">
      <w:pPr>
        <w:pStyle w:val="NormalWeb"/>
        <w:jc w:val="both"/>
        <w:rPr>
          <w:sz w:val="22"/>
          <w:szCs w:val="22"/>
          <w:lang w:val="sr-Latn-ME"/>
        </w:rPr>
      </w:pPr>
      <w:r w:rsidRPr="007546E5">
        <w:rPr>
          <w:sz w:val="22"/>
          <w:szCs w:val="22"/>
          <w:lang w:val="sr-Latn-ME"/>
        </w:rPr>
        <w:t>Doprinosi u naturi ne mogu se smatrati sufinansiranjem.</w:t>
      </w:r>
    </w:p>
    <w:p w14:paraId="5B7F2502" w14:textId="77777777" w:rsidR="003C4217" w:rsidRPr="007546E5" w:rsidRDefault="003C4217" w:rsidP="003C4217">
      <w:pPr>
        <w:pStyle w:val="NormalWeb"/>
        <w:jc w:val="both"/>
        <w:rPr>
          <w:sz w:val="22"/>
          <w:szCs w:val="22"/>
          <w:lang w:val="sr-Latn-ME"/>
        </w:rPr>
      </w:pPr>
      <w:r w:rsidRPr="007546E5">
        <w:rPr>
          <w:sz w:val="22"/>
          <w:szCs w:val="22"/>
          <w:lang w:val="sr-Latn-ME"/>
        </w:rPr>
        <w:t>Međutim, ukoliko opis akcije uključuje doprinose u naturi, oni moraju biti obezbijeđeni.</w:t>
      </w:r>
    </w:p>
    <w:p w14:paraId="37BBAC2C" w14:textId="6696F0BE" w:rsidR="003C4217" w:rsidRPr="007546E5" w:rsidRDefault="003C4217" w:rsidP="003C4217">
      <w:pPr>
        <w:pStyle w:val="NormalWeb"/>
        <w:jc w:val="both"/>
        <w:rPr>
          <w:sz w:val="22"/>
          <w:szCs w:val="22"/>
          <w:lang w:val="sr-Latn-ME"/>
        </w:rPr>
      </w:pPr>
      <w:r w:rsidRPr="007546E5">
        <w:rPr>
          <w:sz w:val="22"/>
          <w:szCs w:val="22"/>
          <w:lang w:val="sr-Latn-ME"/>
        </w:rPr>
        <w:t>Doprinosi koji uključuju nepokretnosti moraju biti isključeni iz obračuna iznosa sufinansiranja.</w:t>
      </w:r>
      <w:r w:rsidR="00C35895">
        <w:rPr>
          <w:sz w:val="22"/>
          <w:szCs w:val="22"/>
          <w:lang w:val="sr-Latn-ME"/>
        </w:rPr>
        <w:t xml:space="preserve"> </w:t>
      </w:r>
      <w:r w:rsidRPr="007546E5">
        <w:rPr>
          <w:sz w:val="22"/>
          <w:szCs w:val="22"/>
          <w:lang w:val="sr-Latn-ME"/>
        </w:rPr>
        <w:t>Doprinosi u naturi moraju biti u skladu sa nacionalnim propisima o porezima i socijalnom osiguranju.</w:t>
      </w:r>
    </w:p>
    <w:p w14:paraId="35C8E3C9" w14:textId="2C282F3F" w:rsidR="003C4217" w:rsidRPr="007546E5" w:rsidRDefault="003C4217" w:rsidP="003C4217">
      <w:pPr>
        <w:pStyle w:val="NormalWeb"/>
        <w:jc w:val="both"/>
        <w:rPr>
          <w:sz w:val="22"/>
          <w:szCs w:val="22"/>
          <w:lang w:val="sr-Latn-ME"/>
        </w:rPr>
      </w:pPr>
      <w:r w:rsidRPr="007546E5">
        <w:rPr>
          <w:sz w:val="22"/>
          <w:szCs w:val="22"/>
          <w:lang w:val="sr-Latn-ME"/>
        </w:rPr>
        <w:t xml:space="preserve">Ukoliko je predloženo sufinansiranje u naturi, ono mora biti uključeno u Aneks B (radni list 3) </w:t>
      </w:r>
      <w:r w:rsidR="00C35895">
        <w:rPr>
          <w:sz w:val="22"/>
          <w:szCs w:val="22"/>
          <w:lang w:val="sr-Latn-ME"/>
        </w:rPr>
        <w:t>s</w:t>
      </w:r>
      <w:r w:rsidRPr="007546E5">
        <w:rPr>
          <w:sz w:val="22"/>
          <w:szCs w:val="22"/>
          <w:lang w:val="sr-Latn-ME"/>
        </w:rPr>
        <w:t>mjernica za podnosioce prijava, u dijelu koji se odnosi na očekivane izvore finansiranja akcije. Isti iznos mora biti naveden i u budžetu (radni list 1).</w:t>
      </w:r>
    </w:p>
    <w:p w14:paraId="0742A37F" w14:textId="23729135" w:rsidR="003C4217" w:rsidRPr="007546E5" w:rsidRDefault="003C4217" w:rsidP="003F62E7">
      <w:pPr>
        <w:pStyle w:val="NormalWeb"/>
        <w:jc w:val="both"/>
        <w:rPr>
          <w:sz w:val="22"/>
          <w:szCs w:val="22"/>
          <w:lang w:val="sr-Latn-ME"/>
        </w:rPr>
      </w:pPr>
      <w:r w:rsidRPr="007546E5">
        <w:rPr>
          <w:sz w:val="22"/>
          <w:szCs w:val="22"/>
          <w:lang w:val="sr-Latn-ME"/>
        </w:rPr>
        <w:t>Ostalo sufinansiranje zasniva se na procjenama koje dostavlja podnosilac prijave.</w:t>
      </w:r>
    </w:p>
    <w:p w14:paraId="731E62AB" w14:textId="77777777" w:rsidR="003C4217" w:rsidRPr="007546E5" w:rsidRDefault="003C4217" w:rsidP="003C4217">
      <w:pPr>
        <w:pStyle w:val="Heading3"/>
        <w:jc w:val="both"/>
        <w:rPr>
          <w:rFonts w:ascii="Times New Roman" w:hAnsi="Times New Roman" w:cs="Times New Roman"/>
          <w:color w:val="auto"/>
          <w:sz w:val="22"/>
          <w:szCs w:val="22"/>
          <w:u w:val="single"/>
        </w:rPr>
      </w:pPr>
      <w:r w:rsidRPr="007546E5">
        <w:rPr>
          <w:rStyle w:val="Strong"/>
          <w:rFonts w:ascii="Times New Roman" w:hAnsi="Times New Roman" w:cs="Times New Roman"/>
          <w:b w:val="0"/>
          <w:bCs w:val="0"/>
          <w:color w:val="auto"/>
          <w:sz w:val="22"/>
          <w:szCs w:val="22"/>
          <w:u w:val="single"/>
        </w:rPr>
        <w:t>Neprihvatljivi troškovi</w:t>
      </w:r>
    </w:p>
    <w:p w14:paraId="6FBC2006" w14:textId="77777777" w:rsidR="003C4217" w:rsidRPr="007546E5" w:rsidRDefault="003C4217" w:rsidP="003C4217">
      <w:pPr>
        <w:pStyle w:val="NormalWeb"/>
        <w:jc w:val="both"/>
        <w:rPr>
          <w:sz w:val="22"/>
          <w:szCs w:val="22"/>
          <w:lang w:val="sr-Latn-ME"/>
        </w:rPr>
      </w:pPr>
      <w:r w:rsidRPr="007546E5">
        <w:rPr>
          <w:sz w:val="22"/>
          <w:szCs w:val="22"/>
          <w:lang w:val="sr-Latn-ME"/>
        </w:rPr>
        <w:t>Troškovi koji nijesu u skladu sa uslovima utvrđenim ugovorom nijesu prihvatljivi. Sljedeći troškovi nijesu prihvatljivi:</w:t>
      </w:r>
    </w:p>
    <w:p w14:paraId="1F256CC2"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dugovi i troškovi servisiranja duga (kamate); </w:t>
      </w:r>
    </w:p>
    <w:p w14:paraId="79CA1B93"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rezervisanja za gubitke ili potencijalne buduće obaveze; </w:t>
      </w:r>
    </w:p>
    <w:p w14:paraId="5990D315"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troškovi koje su prijavili korisnik(ci) sredstava, a koji su finansirani iz druge akcije ili programa rada koji prima grant Evropske unije (uključujući i kroz Evropski razvojni fond – EDF); </w:t>
      </w:r>
    </w:p>
    <w:p w14:paraId="23FEB010"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lastRenderedPageBreak/>
        <w:t xml:space="preserve">kupovina zemljišta ili objekata, osim kada je to neophodno za direktno sprovođenje akcije, u kom slučaju vlasništvo mora biti preneseno u skladu sa članom 7.5 Opštih uslova standardnog ugovora o grantu, najkasnije do završetka akcije; </w:t>
      </w:r>
    </w:p>
    <w:p w14:paraId="7CB50AB5"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gubici usljed valutnih razlika; </w:t>
      </w:r>
    </w:p>
    <w:p w14:paraId="4868CB19"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doprinosi u naturi (osim rada volontera); </w:t>
      </w:r>
    </w:p>
    <w:p w14:paraId="774455F8"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bonusi uključeni u troškove osoblja; </w:t>
      </w:r>
    </w:p>
    <w:p w14:paraId="13A30DC6"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negativne kamate koje obračunavaju banke ili druge finansijske institucije; </w:t>
      </w:r>
    </w:p>
    <w:p w14:paraId="71541003" w14:textId="77777777"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kreditiranje trećih lica; </w:t>
      </w:r>
    </w:p>
    <w:p w14:paraId="65AA2AEC" w14:textId="605691E3" w:rsidR="003C4217" w:rsidRPr="007546E5" w:rsidRDefault="003C4217" w:rsidP="003C4217">
      <w:pPr>
        <w:numPr>
          <w:ilvl w:val="0"/>
          <w:numId w:val="18"/>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troškovi zarada zaposlenih u nacionalnim administracijama. </w:t>
      </w:r>
    </w:p>
    <w:p w14:paraId="4C3D9EAA" w14:textId="77777777" w:rsidR="003C4217" w:rsidRPr="00CB290B" w:rsidRDefault="003C4217" w:rsidP="003C4217">
      <w:pPr>
        <w:pStyle w:val="Heading3"/>
        <w:rPr>
          <w:rFonts w:ascii="Times New Roman" w:hAnsi="Times New Roman" w:cs="Times New Roman"/>
          <w:color w:val="auto"/>
          <w:sz w:val="22"/>
          <w:szCs w:val="22"/>
        </w:rPr>
      </w:pPr>
      <w:r w:rsidRPr="00CB290B">
        <w:rPr>
          <w:rStyle w:val="Strong"/>
          <w:rFonts w:ascii="Times New Roman" w:hAnsi="Times New Roman" w:cs="Times New Roman"/>
          <w:bCs w:val="0"/>
          <w:color w:val="auto"/>
          <w:sz w:val="22"/>
          <w:szCs w:val="22"/>
        </w:rPr>
        <w:t>2.1.5. Etika i vrijednosti</w:t>
      </w:r>
    </w:p>
    <w:p w14:paraId="72FCAE0E" w14:textId="77777777" w:rsidR="003C4217" w:rsidRPr="007546E5" w:rsidRDefault="003C4217" w:rsidP="003C4217">
      <w:pPr>
        <w:pStyle w:val="Heading4"/>
        <w:rPr>
          <w:rFonts w:ascii="Times New Roman" w:hAnsi="Times New Roman" w:cs="Times New Roman"/>
          <w:i w:val="0"/>
          <w:color w:val="auto"/>
        </w:rPr>
      </w:pPr>
      <w:r w:rsidRPr="00CB290B">
        <w:rPr>
          <w:rStyle w:val="Strong"/>
          <w:rFonts w:ascii="Times New Roman" w:hAnsi="Times New Roman" w:cs="Times New Roman"/>
          <w:bCs w:val="0"/>
          <w:i w:val="0"/>
          <w:color w:val="auto"/>
        </w:rPr>
        <w:t>Izostanak sukoba interesa</w:t>
      </w:r>
    </w:p>
    <w:p w14:paraId="531387D7" w14:textId="701A31C2" w:rsidR="003C4217" w:rsidRPr="007546E5" w:rsidRDefault="003C4217" w:rsidP="003C4217">
      <w:pPr>
        <w:pStyle w:val="NormalWeb"/>
        <w:jc w:val="both"/>
        <w:rPr>
          <w:sz w:val="22"/>
          <w:szCs w:val="22"/>
          <w:lang w:val="sr-Latn-ME"/>
        </w:rPr>
      </w:pPr>
      <w:r w:rsidRPr="007546E5">
        <w:rPr>
          <w:sz w:val="22"/>
          <w:szCs w:val="22"/>
          <w:lang w:val="sr-Latn-ME"/>
        </w:rPr>
        <w:t>Podnosilac prijave ne smije biti u sukobu interesa niti imati slične odnose sa drugim podnosiocima prijava ili stranama uključenim u akcije. Svaki pokušaj podnosioca prijave da pribavi povjerljive informacije, zaključi nezakonite sporazume sa konkurentima ili utiče na komisiju za evaluaciju ili ugovorno tijelo tokom postupka razmatranja, pojašnjenja, evaluacije i upoređivanja prijava</w:t>
      </w:r>
      <w:r w:rsidR="002428B5">
        <w:rPr>
          <w:sz w:val="22"/>
          <w:szCs w:val="22"/>
          <w:lang w:val="sr-Latn-ME"/>
        </w:rPr>
        <w:t>,</w:t>
      </w:r>
      <w:r w:rsidRPr="007546E5">
        <w:rPr>
          <w:sz w:val="22"/>
          <w:szCs w:val="22"/>
          <w:lang w:val="sr-Latn-ME"/>
        </w:rPr>
        <w:t xml:space="preserve"> dovešće do odbijanja njegove prijave</w:t>
      </w:r>
      <w:r w:rsidR="00AE3B19">
        <w:rPr>
          <w:sz w:val="22"/>
          <w:szCs w:val="22"/>
          <w:lang w:val="sr-Latn-ME"/>
        </w:rPr>
        <w:t>, te</w:t>
      </w:r>
      <w:r w:rsidRPr="007546E5">
        <w:rPr>
          <w:sz w:val="22"/>
          <w:szCs w:val="22"/>
          <w:lang w:val="sr-Latn-ME"/>
        </w:rPr>
        <w:t xml:space="preserve"> može rezultirati odlukama o isključenju iz drugih postupaka dodjele i/ili finansijskim sankcijama u skladu sa važećom Finansijskom uredbom.</w:t>
      </w:r>
    </w:p>
    <w:p w14:paraId="2F4F245D" w14:textId="77777777" w:rsidR="003C4217" w:rsidRPr="007546E5" w:rsidRDefault="003C4217" w:rsidP="003C4217">
      <w:pPr>
        <w:pStyle w:val="Heading4"/>
        <w:rPr>
          <w:rFonts w:ascii="Times New Roman" w:hAnsi="Times New Roman" w:cs="Times New Roman"/>
          <w:i w:val="0"/>
          <w:color w:val="auto"/>
        </w:rPr>
      </w:pPr>
      <w:r w:rsidRPr="007546E5">
        <w:rPr>
          <w:rStyle w:val="Strong"/>
          <w:rFonts w:ascii="Times New Roman" w:hAnsi="Times New Roman" w:cs="Times New Roman"/>
          <w:bCs w:val="0"/>
          <w:i w:val="0"/>
          <w:color w:val="auto"/>
        </w:rPr>
        <w:t>Poštovanje propisa o zaštiti životne sredine i osnovnih standarda rada</w:t>
      </w:r>
    </w:p>
    <w:p w14:paraId="5B19E40E" w14:textId="6885EEA3" w:rsidR="003C4217" w:rsidRPr="007546E5" w:rsidRDefault="003C4217" w:rsidP="003C4217">
      <w:pPr>
        <w:pStyle w:val="NormalWeb"/>
        <w:jc w:val="both"/>
        <w:rPr>
          <w:sz w:val="22"/>
          <w:szCs w:val="22"/>
          <w:lang w:val="sr-Latn-ME"/>
        </w:rPr>
      </w:pPr>
      <w:r w:rsidRPr="007546E5">
        <w:rPr>
          <w:sz w:val="22"/>
          <w:szCs w:val="22"/>
          <w:lang w:val="sr-Latn-ME"/>
        </w:rPr>
        <w:t>Podnosioci prijava kojima bude dodijeljen grant moraju poštovati propise o zaštiti životne sredine, uključujući multilateralne sporazume u ovoj oblasti, kao i osnovne standarde rada kako su primjenjivi i definisani u relevantnim konvencijama Međunarodne organizacije rada (</w:t>
      </w:r>
      <w:r w:rsidR="00A96AC9">
        <w:rPr>
          <w:sz w:val="22"/>
          <w:szCs w:val="22"/>
          <w:lang w:val="sr-Latn-ME"/>
        </w:rPr>
        <w:t>poput</w:t>
      </w:r>
      <w:r w:rsidRPr="007546E5">
        <w:rPr>
          <w:sz w:val="22"/>
          <w:szCs w:val="22"/>
          <w:lang w:val="sr-Latn-ME"/>
        </w:rPr>
        <w:t xml:space="preserve"> konvencije o slobodi udruživanja i kolektivnom pregovaranju; ukidanju prinudnog i obaveznog rada; ukidanju dječjeg rada).</w:t>
      </w:r>
    </w:p>
    <w:p w14:paraId="0B4EE067" w14:textId="77777777" w:rsidR="003C4217" w:rsidRPr="007546E5" w:rsidRDefault="003C4217" w:rsidP="003C4217">
      <w:pPr>
        <w:pStyle w:val="Heading4"/>
        <w:rPr>
          <w:rFonts w:ascii="Times New Roman" w:hAnsi="Times New Roman" w:cs="Times New Roman"/>
          <w:i w:val="0"/>
          <w:color w:val="auto"/>
        </w:rPr>
      </w:pPr>
      <w:r w:rsidRPr="007546E5">
        <w:rPr>
          <w:rStyle w:val="Strong"/>
          <w:rFonts w:ascii="Times New Roman" w:hAnsi="Times New Roman" w:cs="Times New Roman"/>
          <w:bCs w:val="0"/>
          <w:i w:val="0"/>
          <w:color w:val="auto"/>
        </w:rPr>
        <w:t>Poštovanje vrijednosti Evropske unije</w:t>
      </w:r>
    </w:p>
    <w:p w14:paraId="6C0397CC" w14:textId="77777777" w:rsidR="003C4217" w:rsidRPr="007546E5" w:rsidRDefault="003C4217" w:rsidP="003C4217">
      <w:pPr>
        <w:pStyle w:val="NormalWeb"/>
        <w:jc w:val="both"/>
        <w:rPr>
          <w:sz w:val="22"/>
          <w:szCs w:val="22"/>
          <w:lang w:val="sr-Latn-ME"/>
        </w:rPr>
      </w:pPr>
      <w:r w:rsidRPr="007546E5">
        <w:rPr>
          <w:sz w:val="22"/>
          <w:szCs w:val="22"/>
          <w:lang w:val="sr-Latn-ME"/>
        </w:rPr>
        <w:t>Podnosioci prijava kojima bude dodijeljen grant moraju se obavezati na poštovanje osnovnih vrijednosti Evropske unije i obezbijediti njihovo poštovanje, kao što su poštovanje ljudskog dostojanstva, slobode, demokratije, jednakosti, vladavine prava i ljudskih prava, uključujući prava manjina.</w:t>
      </w:r>
    </w:p>
    <w:tbl>
      <w:tblPr>
        <w:tblStyle w:val="TableGrid"/>
        <w:tblW w:w="0" w:type="auto"/>
        <w:tblLook w:val="04A0" w:firstRow="1" w:lastRow="0" w:firstColumn="1" w:lastColumn="0" w:noHBand="0" w:noVBand="1"/>
      </w:tblPr>
      <w:tblGrid>
        <w:gridCol w:w="9016"/>
      </w:tblGrid>
      <w:tr w:rsidR="003C4217" w:rsidRPr="007546E5" w14:paraId="1DA36A3D" w14:textId="77777777" w:rsidTr="003C4217">
        <w:tc>
          <w:tcPr>
            <w:tcW w:w="9016" w:type="dxa"/>
          </w:tcPr>
          <w:p w14:paraId="41016A6A" w14:textId="77777777" w:rsidR="003C4217" w:rsidRPr="007546E5" w:rsidRDefault="003C4217" w:rsidP="003C4217">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Nulta tolerancija na seksualnu eksploataciju, zlostavljanje i uznemiravanje:</w:t>
            </w:r>
          </w:p>
          <w:p w14:paraId="6E5C3714" w14:textId="77777777" w:rsidR="003C4217" w:rsidRPr="007546E5" w:rsidRDefault="003C4217" w:rsidP="003C4217">
            <w:pPr>
              <w:pStyle w:val="NormalWeb"/>
              <w:jc w:val="both"/>
              <w:rPr>
                <w:sz w:val="22"/>
                <w:szCs w:val="22"/>
                <w:lang w:val="sr-Latn-ME"/>
              </w:rPr>
            </w:pPr>
            <w:r w:rsidRPr="007546E5">
              <w:rPr>
                <w:sz w:val="22"/>
                <w:szCs w:val="22"/>
                <w:lang w:val="sr-Latn-ME"/>
              </w:rPr>
              <w:t>Evropska komisija primjenjuje politiku „nulte tolerancije“ u odnosu na svako nepravilno ponašanje koje utiče na profesionalni kredibilitet podnosioca prijave.</w:t>
            </w:r>
          </w:p>
          <w:p w14:paraId="62B9DA8C" w14:textId="77777777" w:rsidR="003C4217" w:rsidRPr="007546E5" w:rsidRDefault="003C4217" w:rsidP="003C4217">
            <w:pPr>
              <w:pStyle w:val="NormalWeb"/>
              <w:jc w:val="both"/>
              <w:rPr>
                <w:sz w:val="22"/>
                <w:szCs w:val="22"/>
                <w:lang w:val="sr-Latn-ME"/>
              </w:rPr>
            </w:pPr>
            <w:r w:rsidRPr="007546E5">
              <w:rPr>
                <w:sz w:val="22"/>
                <w:szCs w:val="22"/>
                <w:lang w:val="sr-Latn-ME"/>
              </w:rPr>
              <w:t>Fizičko zlostavljanje ili kažnjavanje, ili prijetnje fizičkim zlostavljanjem, seksualno zlostavljanje ili eksploatacija, uznemiravanje i verbalno zlostavljanje, kao i drugi oblici zastrašivanja, strogo su zabranjeni.</w:t>
            </w:r>
          </w:p>
          <w:p w14:paraId="73A86123" w14:textId="4A5D2DFF" w:rsidR="003C4217" w:rsidRPr="007546E5" w:rsidRDefault="003C4217" w:rsidP="00712DA1">
            <w:pPr>
              <w:pStyle w:val="NormalWeb"/>
              <w:jc w:val="both"/>
              <w:rPr>
                <w:sz w:val="22"/>
                <w:szCs w:val="22"/>
                <w:lang w:val="sr-Latn-ME"/>
              </w:rPr>
            </w:pPr>
            <w:r w:rsidRPr="007546E5">
              <w:rPr>
                <w:sz w:val="22"/>
                <w:szCs w:val="22"/>
                <w:lang w:val="sr-Latn-ME"/>
              </w:rPr>
              <w:t>Uspješni podnosioci prijava (i povezani subjekti), osim (i) fizičkih lica, (ii) subjekata sa pozitivno ocijenjenim stubovima („pillar-assessed entities“) i (iii) vlada i drugih javnih tijela, dužni su da procijene svoje interne politike u vezi sa seksualnom eksploatacijom, zlostavljanjem i uznemiravanjem (SEA-H) putem upitnika za samoprocjenu (Aneks L). Za grantove u iznosu od 60.000 EUR ili manje, samoprocjena nije potrebna. Ovaj upitnik za samoprocjenu nije dio evaluacije prijave od strane ugovornog tijela, već predstavlja administrativni zahtjev. Vidjeti odjeljak 6.2.10 Praktičnog vodiča.</w:t>
            </w:r>
          </w:p>
        </w:tc>
      </w:tr>
    </w:tbl>
    <w:p w14:paraId="18E103AD" w14:textId="77777777" w:rsidR="003C4217" w:rsidRPr="007546E5" w:rsidRDefault="003C4217" w:rsidP="003C4217">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Borba protiv korupcije i podmićivanja</w:t>
      </w:r>
    </w:p>
    <w:p w14:paraId="5195D6AA" w14:textId="7D699CFC" w:rsidR="003C4217" w:rsidRPr="007546E5" w:rsidRDefault="003C4217" w:rsidP="003C4217">
      <w:pPr>
        <w:pStyle w:val="NormalWeb"/>
        <w:jc w:val="both"/>
        <w:rPr>
          <w:sz w:val="22"/>
          <w:szCs w:val="22"/>
          <w:lang w:val="sr-Latn-ME"/>
        </w:rPr>
      </w:pPr>
      <w:r w:rsidRPr="007546E5">
        <w:rPr>
          <w:sz w:val="22"/>
          <w:szCs w:val="22"/>
          <w:lang w:val="sr-Latn-ME"/>
        </w:rPr>
        <w:t xml:space="preserve">Podnosilac prijave mora poštovati sve važeće zakone, propise i kodekse koji se odnose na borbu protiv podmićivanja i korupcije. Ugovorno tijelo zadržava pravo da obustavi ili otkaže finansiranje projekta </w:t>
      </w:r>
      <w:r w:rsidRPr="007546E5">
        <w:rPr>
          <w:sz w:val="22"/>
          <w:szCs w:val="22"/>
          <w:lang w:val="sr-Latn-ME"/>
        </w:rPr>
        <w:lastRenderedPageBreak/>
        <w:t xml:space="preserve">ukoliko se u bilo kojoj fazi postupka dodjele ili tokom izvršenja ugovora otkriju koruptivne radnje bilo koje vrste, a ugovorno tijelo ne </w:t>
      </w:r>
      <w:r w:rsidR="005B7B38">
        <w:rPr>
          <w:sz w:val="22"/>
          <w:szCs w:val="22"/>
          <w:lang w:val="sr-Latn-ME"/>
        </w:rPr>
        <w:t xml:space="preserve">uspije </w:t>
      </w:r>
      <w:r w:rsidRPr="007546E5">
        <w:rPr>
          <w:sz w:val="22"/>
          <w:szCs w:val="22"/>
          <w:lang w:val="sr-Latn-ME"/>
        </w:rPr>
        <w:t>preduz</w:t>
      </w:r>
      <w:r w:rsidR="005B7B38">
        <w:rPr>
          <w:sz w:val="22"/>
          <w:szCs w:val="22"/>
          <w:lang w:val="sr-Latn-ME"/>
        </w:rPr>
        <w:t xml:space="preserve">eti </w:t>
      </w:r>
      <w:r w:rsidRPr="007546E5">
        <w:rPr>
          <w:sz w:val="22"/>
          <w:szCs w:val="22"/>
          <w:lang w:val="sr-Latn-ME"/>
        </w:rPr>
        <w:t>sve odgovarajuće mjere za otklanjanje takve situacije. Za potrebe ove odredbe, „koruptivne radnje“ podrazumijevaju nuđenje mita, poklona, nagrade ili provizije bilo kojem licu kao podsticaj ili nagradu za izvršenje ili neizvršenje bilo koje radnje u vezi sa dodjelom ugovora ili izvršenjem ugovora već zaključenog sa ugovornim tijelom.</w:t>
      </w:r>
    </w:p>
    <w:p w14:paraId="7C59235A" w14:textId="77777777" w:rsidR="003C4217" w:rsidRPr="007546E5" w:rsidRDefault="003C4217" w:rsidP="003C4217">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Neuobičajeni komercijalni troškovi</w:t>
      </w:r>
    </w:p>
    <w:p w14:paraId="02AE2D9C" w14:textId="393CFE30" w:rsidR="003C4217" w:rsidRPr="007546E5" w:rsidRDefault="003C4217" w:rsidP="003C4217">
      <w:pPr>
        <w:pStyle w:val="NormalWeb"/>
        <w:jc w:val="both"/>
        <w:rPr>
          <w:sz w:val="22"/>
          <w:szCs w:val="22"/>
          <w:lang w:val="sr-Latn-ME"/>
        </w:rPr>
      </w:pPr>
      <w:r w:rsidRPr="007546E5">
        <w:rPr>
          <w:sz w:val="22"/>
          <w:szCs w:val="22"/>
          <w:lang w:val="sr-Latn-ME"/>
        </w:rPr>
        <w:t>Prijave će biti odbijene ili ugovori raskinuti ukoliko se utvrdi da je dodjela ili izvršenje ugovora dovelo do neuobičajenih komercijalnih troškova. Takvi neuobičajeni komercijalni troškovi podrazumijevaju provizije koje nijesu navedene u glavnom ugovoru ili ne proizilaze iz pravilno zaključenog ugovora koji se odnosi na glavni ugovor, provizije koje nijesu isplaćene za stvarno i legitimno pružene usluge, provizije uplaćene u poreske rajeve</w:t>
      </w:r>
      <w:r w:rsidR="002530DC">
        <w:rPr>
          <w:sz w:val="22"/>
          <w:szCs w:val="22"/>
          <w:lang w:val="sr-Latn-ME"/>
        </w:rPr>
        <w:t xml:space="preserve"> </w:t>
      </w:r>
      <w:r w:rsidR="002530DC" w:rsidRPr="002530DC">
        <w:rPr>
          <w:sz w:val="22"/>
          <w:szCs w:val="22"/>
          <w:lang w:val="sr-Latn-ME"/>
        </w:rPr>
        <w:t>(jurisdikcij</w:t>
      </w:r>
      <w:r w:rsidR="002530DC">
        <w:rPr>
          <w:sz w:val="22"/>
          <w:szCs w:val="22"/>
          <w:lang w:val="sr-Latn-ME"/>
        </w:rPr>
        <w:t>e</w:t>
      </w:r>
      <w:r w:rsidR="002530DC" w:rsidRPr="002530DC">
        <w:rPr>
          <w:sz w:val="22"/>
          <w:szCs w:val="22"/>
          <w:lang w:val="sr-Latn-ME"/>
        </w:rPr>
        <w:t xml:space="preserve"> sa povoljnim poreskim režimom)</w:t>
      </w:r>
      <w:r w:rsidRPr="002530DC">
        <w:rPr>
          <w:sz w:val="22"/>
          <w:szCs w:val="22"/>
          <w:lang w:val="sr-Latn-ME"/>
        </w:rPr>
        <w:t>,</w:t>
      </w:r>
      <w:r w:rsidRPr="007546E5">
        <w:rPr>
          <w:sz w:val="22"/>
          <w:szCs w:val="22"/>
          <w:lang w:val="sr-Latn-ME"/>
        </w:rPr>
        <w:t xml:space="preserve"> provizije isplaćene primaocu koji nije jasno identifikovan ili provizije isplaćene društvu koje ima obilježja </w:t>
      </w:r>
      <w:r w:rsidR="002530DC">
        <w:rPr>
          <w:sz w:val="22"/>
          <w:szCs w:val="22"/>
          <w:lang w:val="sr-Latn-ME"/>
        </w:rPr>
        <w:t xml:space="preserve">paravan </w:t>
      </w:r>
      <w:r w:rsidRPr="007546E5">
        <w:rPr>
          <w:sz w:val="22"/>
          <w:szCs w:val="22"/>
          <w:lang w:val="sr-Latn-ME"/>
        </w:rPr>
        <w:t>kompanije.</w:t>
      </w:r>
    </w:p>
    <w:p w14:paraId="146E3B85" w14:textId="4BF4FC4F" w:rsidR="003C4217" w:rsidRPr="007546E5" w:rsidRDefault="003C4217" w:rsidP="003C4217">
      <w:pPr>
        <w:pStyle w:val="NormalWeb"/>
        <w:jc w:val="both"/>
        <w:rPr>
          <w:sz w:val="22"/>
          <w:szCs w:val="22"/>
          <w:lang w:val="sr-Latn-ME"/>
        </w:rPr>
      </w:pPr>
      <w:r w:rsidRPr="007546E5">
        <w:rPr>
          <w:sz w:val="22"/>
          <w:szCs w:val="22"/>
          <w:lang w:val="sr-Latn-ME"/>
        </w:rPr>
        <w:t>Korisnici grantova za koje se utvrdi da su plaćali neuobičajene komercijalne troškove u projektima finansiranim od strane Evropske unije mogu, u zavisnosti od težine utvrđenih činjenica, imati raskinut ugovor ili biti isključeni iz finansiranja sredstvima EU/EDF.</w:t>
      </w:r>
    </w:p>
    <w:p w14:paraId="63EE1F07" w14:textId="77777777" w:rsidR="003C4217" w:rsidRPr="007546E5" w:rsidRDefault="003C4217" w:rsidP="003C4217">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Kršenje obaveza, nepravilnosti ili prevara</w:t>
      </w:r>
    </w:p>
    <w:p w14:paraId="412934D9" w14:textId="77777777" w:rsidR="003C4217" w:rsidRPr="007546E5" w:rsidRDefault="003C4217" w:rsidP="003C4217">
      <w:pPr>
        <w:pStyle w:val="NormalWeb"/>
        <w:jc w:val="both"/>
        <w:rPr>
          <w:sz w:val="22"/>
          <w:szCs w:val="22"/>
          <w:lang w:val="sr-Latn-ME"/>
        </w:rPr>
      </w:pPr>
      <w:r w:rsidRPr="007546E5">
        <w:rPr>
          <w:sz w:val="22"/>
          <w:szCs w:val="22"/>
          <w:lang w:val="sr-Latn-ME"/>
        </w:rPr>
        <w:t>Ugovorno tijelo zadržava pravo da obustavi ili poništi postupak ukoliko se utvrdi da je postupak dodjele bio predmet ozbiljnog kršenja obaveza, nepravilnosti ili prevare. Ukoliko se takvo kršenje obaveza, nepravilnosti ili prevara otkriju nakon dodjele ugovora, ugovorno tijelo može odustati od zaključenja ugovora.</w:t>
      </w:r>
    </w:p>
    <w:p w14:paraId="33DF977D" w14:textId="77777777" w:rsidR="00571DA2" w:rsidRPr="007546E5" w:rsidRDefault="00571DA2" w:rsidP="00571DA2">
      <w:pPr>
        <w:pStyle w:val="Heading3"/>
        <w:jc w:val="both"/>
        <w:rPr>
          <w:rFonts w:ascii="Times New Roman" w:hAnsi="Times New Roman" w:cs="Times New Roman"/>
          <w:color w:val="auto"/>
        </w:rPr>
      </w:pPr>
      <w:r w:rsidRPr="007546E5">
        <w:rPr>
          <w:rStyle w:val="Strong"/>
          <w:rFonts w:ascii="Times New Roman" w:hAnsi="Times New Roman" w:cs="Times New Roman"/>
          <w:bCs w:val="0"/>
          <w:color w:val="auto"/>
        </w:rPr>
        <w:t>2.2. NAČIN PRIJAVLJIVANJA I PROCEDURE KOJE TREBA SLIJEDITI</w:t>
      </w:r>
    </w:p>
    <w:p w14:paraId="18D919E7" w14:textId="680932A1" w:rsidR="00571DA2" w:rsidRPr="007546E5" w:rsidRDefault="00571DA2" w:rsidP="00571DA2">
      <w:pPr>
        <w:pStyle w:val="NormalWeb"/>
        <w:jc w:val="both"/>
        <w:rPr>
          <w:sz w:val="22"/>
          <w:szCs w:val="22"/>
          <w:lang w:val="sr-Latn-ME"/>
        </w:rPr>
      </w:pPr>
      <w:r w:rsidRPr="007546E5">
        <w:rPr>
          <w:sz w:val="22"/>
          <w:szCs w:val="22"/>
          <w:lang w:val="sr-Latn-ME"/>
        </w:rPr>
        <w:t xml:space="preserve">Da bi se prijavili na ovaj poziv za dostavljanje </w:t>
      </w:r>
      <w:r w:rsidR="002832D2" w:rsidRPr="007546E5">
        <w:rPr>
          <w:sz w:val="22"/>
          <w:szCs w:val="22"/>
          <w:lang w:val="sr-Latn-ME"/>
        </w:rPr>
        <w:t>prijedlog</w:t>
      </w:r>
      <w:r w:rsidRPr="007546E5">
        <w:rPr>
          <w:sz w:val="22"/>
          <w:szCs w:val="22"/>
          <w:lang w:val="sr-Latn-ME"/>
        </w:rPr>
        <w:t>a projekata, vodeći podnosioci prijava treba da:</w:t>
      </w:r>
    </w:p>
    <w:p w14:paraId="5BC37501" w14:textId="77777777" w:rsidR="00571DA2" w:rsidRPr="007546E5" w:rsidRDefault="00571DA2" w:rsidP="00571DA2">
      <w:pPr>
        <w:pStyle w:val="NormalWeb"/>
        <w:jc w:val="both"/>
        <w:rPr>
          <w:sz w:val="22"/>
          <w:szCs w:val="22"/>
          <w:lang w:val="sr-Latn-ME"/>
        </w:rPr>
      </w:pPr>
      <w:r w:rsidRPr="007546E5">
        <w:rPr>
          <w:rStyle w:val="Strong"/>
          <w:sz w:val="22"/>
          <w:szCs w:val="22"/>
          <w:lang w:val="sr-Latn-ME"/>
        </w:rPr>
        <w:t>I. Dostave informacije o organizacijama uključenim u akciju.</w:t>
      </w:r>
    </w:p>
    <w:p w14:paraId="746C8924" w14:textId="66EC57CD" w:rsidR="00571DA2" w:rsidRPr="007546E5" w:rsidRDefault="00571DA2" w:rsidP="00571DA2">
      <w:pPr>
        <w:pStyle w:val="NormalWeb"/>
        <w:jc w:val="both"/>
        <w:rPr>
          <w:sz w:val="22"/>
          <w:szCs w:val="22"/>
          <w:lang w:val="sr-Latn-ME"/>
        </w:rPr>
      </w:pPr>
      <w:r w:rsidRPr="007546E5">
        <w:rPr>
          <w:sz w:val="22"/>
          <w:szCs w:val="22"/>
          <w:lang w:val="sr-Latn-ME"/>
        </w:rPr>
        <w:t>Vodeći podnosioci prijava, su-podnosioci prijava i povezani subjekti, osim fizičkih lica, moraju biti registrovani u PADOR-u</w:t>
      </w:r>
      <w:r w:rsidR="001A2234" w:rsidRPr="007546E5">
        <w:rPr>
          <w:rStyle w:val="FootnoteReference"/>
          <w:sz w:val="22"/>
          <w:szCs w:val="22"/>
          <w:lang w:val="sr-Latn-ME"/>
        </w:rPr>
        <w:footnoteReference w:id="19"/>
      </w:r>
      <w:r w:rsidRPr="007546E5">
        <w:rPr>
          <w:sz w:val="22"/>
          <w:szCs w:val="22"/>
          <w:lang w:val="sr-Latn-ME"/>
        </w:rPr>
        <w:t>, a vodeći podnosioci prijava moraju obezbijediti da njihov PADOR profil bude ažuriran.</w:t>
      </w:r>
    </w:p>
    <w:p w14:paraId="02D62BDC" w14:textId="77777777" w:rsidR="00571DA2" w:rsidRPr="007546E5" w:rsidRDefault="00571DA2" w:rsidP="00571DA2">
      <w:pPr>
        <w:pStyle w:val="NormalWeb"/>
        <w:jc w:val="both"/>
        <w:rPr>
          <w:sz w:val="22"/>
          <w:szCs w:val="22"/>
          <w:lang w:val="sr-Latn-ME"/>
        </w:rPr>
      </w:pPr>
      <w:r w:rsidRPr="007546E5">
        <w:rPr>
          <w:sz w:val="22"/>
          <w:szCs w:val="22"/>
          <w:lang w:val="sr-Latn-ME"/>
        </w:rPr>
        <w:t>PADOR je online baza podataka u kojoj organizacije registruju i ažuriraju informacije o svom subjektu. Organizacije registrovane u PADOR-u dobijaju jedinstveni identifikacioni broj (EuropeAid ID), koji moraju navesti u svojoj prijavi.</w:t>
      </w:r>
    </w:p>
    <w:p w14:paraId="6D5D3B1C" w14:textId="1113753E" w:rsidR="00571DA2" w:rsidRPr="007546E5" w:rsidRDefault="00571DA2" w:rsidP="00571DA2">
      <w:pPr>
        <w:pStyle w:val="NormalWeb"/>
        <w:jc w:val="both"/>
        <w:rPr>
          <w:sz w:val="22"/>
          <w:szCs w:val="22"/>
          <w:lang w:val="sr-Latn-ME"/>
        </w:rPr>
      </w:pPr>
      <w:r w:rsidRPr="007546E5">
        <w:rPr>
          <w:sz w:val="22"/>
          <w:szCs w:val="22"/>
          <w:lang w:val="sr-Latn-ME"/>
        </w:rPr>
        <w:t xml:space="preserve">PADOR je dostupan putem sljedeće internet adrese: </w:t>
      </w:r>
      <w:hyperlink r:id="rId41" w:history="1">
        <w:r w:rsidRPr="007546E5">
          <w:rPr>
            <w:rStyle w:val="Hyperlink"/>
            <w:sz w:val="22"/>
            <w:szCs w:val="22"/>
            <w:lang w:val="sr-Latn-ME"/>
          </w:rPr>
          <w:t>https://webgate.ec.europa.eu/pador</w:t>
        </w:r>
      </w:hyperlink>
    </w:p>
    <w:p w14:paraId="2CB1971D" w14:textId="3FA34FB3" w:rsidR="00571DA2" w:rsidRPr="007546E5" w:rsidRDefault="00571DA2" w:rsidP="00571DA2">
      <w:pPr>
        <w:pStyle w:val="NormalWeb"/>
        <w:jc w:val="both"/>
        <w:rPr>
          <w:sz w:val="22"/>
          <w:szCs w:val="22"/>
          <w:lang w:val="sr-Latn-ME"/>
        </w:rPr>
      </w:pPr>
      <w:r w:rsidRPr="007546E5">
        <w:rPr>
          <w:sz w:val="22"/>
          <w:szCs w:val="22"/>
          <w:lang w:val="sr-Latn-ME"/>
        </w:rPr>
        <w:t xml:space="preserve">Napominje se da je registracija </w:t>
      </w:r>
      <w:r w:rsidRPr="007546E5">
        <w:rPr>
          <w:b/>
          <w:sz w:val="22"/>
          <w:szCs w:val="22"/>
          <w:lang w:val="sr-Latn-ME"/>
        </w:rPr>
        <w:t>u PADOR-u obavezna</w:t>
      </w:r>
      <w:r w:rsidRPr="007546E5">
        <w:rPr>
          <w:sz w:val="22"/>
          <w:szCs w:val="22"/>
          <w:lang w:val="sr-Latn-ME"/>
        </w:rPr>
        <w:t xml:space="preserve"> za ovaj poziv za dostavljanje </w:t>
      </w:r>
      <w:r w:rsidR="002832D2" w:rsidRPr="007546E5">
        <w:rPr>
          <w:sz w:val="22"/>
          <w:szCs w:val="22"/>
          <w:lang w:val="sr-Latn-ME"/>
        </w:rPr>
        <w:t>prijedlog</w:t>
      </w:r>
      <w:r w:rsidRPr="007546E5">
        <w:rPr>
          <w:sz w:val="22"/>
          <w:szCs w:val="22"/>
          <w:lang w:val="sr-Latn-ME"/>
        </w:rPr>
        <w:t>a projekata.</w:t>
      </w:r>
    </w:p>
    <w:p w14:paraId="33FEFA58" w14:textId="3D951B7C" w:rsidR="00571DA2" w:rsidRPr="007546E5" w:rsidRDefault="00571DA2" w:rsidP="00571DA2">
      <w:pPr>
        <w:pStyle w:val="NormalWeb"/>
        <w:jc w:val="both"/>
        <w:rPr>
          <w:sz w:val="22"/>
          <w:szCs w:val="22"/>
          <w:lang w:val="sr-Latn-ME"/>
        </w:rPr>
      </w:pPr>
      <w:r w:rsidRPr="007546E5">
        <w:rPr>
          <w:sz w:val="22"/>
          <w:szCs w:val="22"/>
          <w:lang w:val="sr-Latn-ME"/>
        </w:rPr>
        <w:t xml:space="preserve">Ukoliko iz tehničkih razloga, ili zbog bezbjednosnih i povjerljivih pitanja, nije moguće izvršiti online registraciju u PADOR-u, vodeći podnosioci prijava, su-podnosioci prijava i/ili povezani subjekti moraju </w:t>
      </w:r>
      <w:r w:rsidRPr="007546E5">
        <w:rPr>
          <w:sz w:val="22"/>
          <w:szCs w:val="22"/>
          <w:lang w:val="sr-Latn-ME"/>
        </w:rPr>
        <w:lastRenderedPageBreak/>
        <w:t>popuniti „obrazac za registraciju</w:t>
      </w:r>
      <w:r w:rsidR="001A2234" w:rsidRPr="007546E5">
        <w:rPr>
          <w:rStyle w:val="FootnoteReference"/>
          <w:sz w:val="22"/>
          <w:szCs w:val="22"/>
          <w:lang w:val="sr-Latn-ME"/>
        </w:rPr>
        <w:footnoteReference w:id="20"/>
      </w:r>
      <w:r w:rsidRPr="007546E5">
        <w:rPr>
          <w:sz w:val="22"/>
          <w:szCs w:val="22"/>
          <w:lang w:val="sr-Latn-ME"/>
        </w:rPr>
        <w:t xml:space="preserve"> u PADOR-u“ koji je priložen uz ove smjernice. Ovaj obrazac mora biti dostavljen </w:t>
      </w:r>
      <w:r w:rsidRPr="007546E5">
        <w:rPr>
          <w:b/>
          <w:sz w:val="22"/>
          <w:szCs w:val="22"/>
          <w:u w:val="single"/>
          <w:lang w:val="sr-Latn-ME"/>
        </w:rPr>
        <w:t>zajedno sa prijavom</w:t>
      </w:r>
      <w:r w:rsidRPr="007546E5">
        <w:rPr>
          <w:sz w:val="22"/>
          <w:szCs w:val="22"/>
          <w:lang w:val="sr-Latn-ME"/>
        </w:rPr>
        <w:t>, do isteka roka za podnošenje (vidjeti odjeljak 2.2.2).</w:t>
      </w:r>
    </w:p>
    <w:p w14:paraId="66B8DD05" w14:textId="52DC344C" w:rsidR="00571DA2" w:rsidRPr="007546E5" w:rsidRDefault="00571DA2" w:rsidP="00571DA2">
      <w:pPr>
        <w:pStyle w:val="NormalWeb"/>
        <w:jc w:val="both"/>
        <w:rPr>
          <w:sz w:val="22"/>
          <w:szCs w:val="22"/>
          <w:lang w:val="sr-Latn-ME"/>
        </w:rPr>
      </w:pPr>
      <w:r w:rsidRPr="007546E5">
        <w:rPr>
          <w:sz w:val="22"/>
          <w:szCs w:val="22"/>
          <w:lang w:val="sr-Latn-ME"/>
        </w:rPr>
        <w:t xml:space="preserve">Generalni direktorati Evropske komisije za spoljne aktivnosti (DG INTPA, DG NEAR, FPI) prelaze na upravljanje pozivima i ugovorima putem online portala zasnovanog na registru organizacija koje učestvuju u EU pozivima za dostavljanje </w:t>
      </w:r>
      <w:r w:rsidR="002832D2" w:rsidRPr="007546E5">
        <w:rPr>
          <w:sz w:val="22"/>
          <w:szCs w:val="22"/>
          <w:lang w:val="sr-Latn-ME"/>
        </w:rPr>
        <w:t>prijedlog</w:t>
      </w:r>
      <w:r w:rsidRPr="007546E5">
        <w:rPr>
          <w:sz w:val="22"/>
          <w:szCs w:val="22"/>
          <w:lang w:val="sr-Latn-ME"/>
        </w:rPr>
        <w:t>a projekata. Ovaj online registar primjenjuje princip „jednom dostavljeno“ (once only), što znači da se podaci o organizaciji dostavljaju samo jednom. Portal će služiti kao komunikaciona platforma za upravljanje ugovorom(ima).</w:t>
      </w:r>
      <w:r w:rsidR="00896F50">
        <w:rPr>
          <w:sz w:val="22"/>
          <w:szCs w:val="22"/>
          <w:lang w:val="sr-Latn-ME"/>
        </w:rPr>
        <w:t xml:space="preserve"> </w:t>
      </w:r>
      <w:r w:rsidRPr="007546E5">
        <w:rPr>
          <w:sz w:val="22"/>
          <w:szCs w:val="22"/>
          <w:lang w:val="sr-Latn-ME"/>
        </w:rPr>
        <w:t>S obzirom na to da se prijavljujete na poziv koji finansiraju DG INTPA, DG NEAR ili FPI, obavezno je da se registrujete u Registru učesnika Evropske komisije. Ovaj registar predstavlja ulaznu tačku za budući portal za upravljanje pozivima i ugovorima. Registracijom ćete dobiti identifikacioni broj učesnika (PIC – devetocifreni broj), koji će služiti kao vaš jedinstveni identifikator. Registracija je besplatna. Neregistrovanje organizacije može izazvati tehničke poteškoće prilikom buduće migracije podataka.</w:t>
      </w:r>
    </w:p>
    <w:p w14:paraId="7A5A2A58" w14:textId="04752E97" w:rsidR="00571DA2" w:rsidRPr="007546E5" w:rsidRDefault="00571DA2" w:rsidP="00571DA2">
      <w:pPr>
        <w:pStyle w:val="NormalWeb"/>
        <w:jc w:val="both"/>
        <w:rPr>
          <w:sz w:val="22"/>
          <w:szCs w:val="22"/>
          <w:lang w:val="sr-Latn-ME"/>
        </w:rPr>
      </w:pPr>
      <w:r w:rsidRPr="007546E5">
        <w:rPr>
          <w:sz w:val="22"/>
          <w:szCs w:val="22"/>
          <w:lang w:val="sr-Latn-ME"/>
        </w:rPr>
        <w:t xml:space="preserve">Za prijavu na ovaj poziv za dostavljanje </w:t>
      </w:r>
      <w:r w:rsidR="002832D2" w:rsidRPr="007546E5">
        <w:rPr>
          <w:sz w:val="22"/>
          <w:szCs w:val="22"/>
          <w:lang w:val="sr-Latn-ME"/>
        </w:rPr>
        <w:t>prijedlog</w:t>
      </w:r>
      <w:r w:rsidRPr="007546E5">
        <w:rPr>
          <w:sz w:val="22"/>
          <w:szCs w:val="22"/>
          <w:lang w:val="sr-Latn-ME"/>
        </w:rPr>
        <w:t xml:space="preserve">a projekata obavezno je da se vodeći podnosilac prijave i su-podnosioci prijava registruju u </w:t>
      </w:r>
      <w:hyperlink r:id="rId42" w:history="1">
        <w:r w:rsidRPr="007546E5">
          <w:rPr>
            <w:rStyle w:val="Hyperlink"/>
            <w:sz w:val="22"/>
            <w:szCs w:val="22"/>
            <w:lang w:val="sr-Latn-ME"/>
          </w:rPr>
          <w:t>Registru učesnika</w:t>
        </w:r>
      </w:hyperlink>
      <w:r w:rsidRPr="007546E5">
        <w:rPr>
          <w:sz w:val="22"/>
          <w:szCs w:val="22"/>
          <w:lang w:val="sr-Latn-ME"/>
        </w:rPr>
        <w:t>. Za registraciju organizacije, molimo posjetite sljedeći link:</w:t>
      </w:r>
      <w:r w:rsidR="00C7710B" w:rsidRPr="007546E5">
        <w:rPr>
          <w:sz w:val="22"/>
          <w:szCs w:val="22"/>
          <w:lang w:val="sr-Latn-ME"/>
        </w:rPr>
        <w:t xml:space="preserve"> </w:t>
      </w:r>
      <w:hyperlink r:id="rId43" w:history="1">
        <w:r w:rsidR="00C7710B" w:rsidRPr="00896F50">
          <w:rPr>
            <w:rStyle w:val="Hyperlink"/>
            <w:i/>
            <w:sz w:val="22"/>
            <w:szCs w:val="22"/>
            <w:lang w:val="sr-Latn-ME"/>
          </w:rPr>
          <w:t>https://ec.europa.eu/info/funding-tenders/opportunities/portal/screen/how-to-participate/participant-register</w:t>
        </w:r>
      </w:hyperlink>
      <w:r w:rsidRPr="007546E5">
        <w:rPr>
          <w:sz w:val="22"/>
          <w:szCs w:val="22"/>
          <w:lang w:val="sr-Latn-ME"/>
        </w:rPr>
        <w:t xml:space="preserve">  </w:t>
      </w:r>
    </w:p>
    <w:p w14:paraId="701774A4" w14:textId="77777777" w:rsidR="00571DA2" w:rsidRPr="007546E5" w:rsidRDefault="00571DA2" w:rsidP="00571DA2">
      <w:pPr>
        <w:pStyle w:val="NormalWeb"/>
        <w:jc w:val="both"/>
        <w:rPr>
          <w:sz w:val="22"/>
          <w:szCs w:val="22"/>
          <w:lang w:val="sr-Latn-ME"/>
        </w:rPr>
      </w:pPr>
      <w:r w:rsidRPr="007546E5">
        <w:rPr>
          <w:rStyle w:val="Strong"/>
          <w:sz w:val="22"/>
          <w:szCs w:val="22"/>
          <w:lang w:val="sr-Latn-ME"/>
        </w:rPr>
        <w:t>II. Dostave informacije o akciji u dokumentima navedenim u odjeljku 2.2.2 (Gdje i kako podnijeti prijave).</w:t>
      </w:r>
    </w:p>
    <w:p w14:paraId="4EE2AF63" w14:textId="77777777" w:rsidR="00571DA2" w:rsidRPr="007546E5" w:rsidRDefault="00571DA2" w:rsidP="00571DA2">
      <w:pPr>
        <w:pStyle w:val="NormalWeb"/>
        <w:jc w:val="both"/>
        <w:rPr>
          <w:sz w:val="22"/>
          <w:szCs w:val="22"/>
          <w:lang w:val="sr-Latn-ME"/>
        </w:rPr>
      </w:pPr>
      <w:r w:rsidRPr="007546E5">
        <w:rPr>
          <w:sz w:val="22"/>
          <w:szCs w:val="22"/>
          <w:lang w:val="sr-Latn-ME"/>
        </w:rPr>
        <w:t xml:space="preserve">Napominje se da je online podnošenje putem sistema </w:t>
      </w:r>
      <w:r w:rsidRPr="007546E5">
        <w:rPr>
          <w:b/>
          <w:sz w:val="22"/>
          <w:szCs w:val="22"/>
          <w:lang w:val="sr-Latn-ME"/>
        </w:rPr>
        <w:t>PROSPECT obavezno</w:t>
      </w:r>
      <w:r w:rsidRPr="007546E5">
        <w:rPr>
          <w:sz w:val="22"/>
          <w:szCs w:val="22"/>
          <w:lang w:val="sr-Latn-ME"/>
        </w:rPr>
        <w:t xml:space="preserve"> za ovaj poziv.</w:t>
      </w:r>
    </w:p>
    <w:tbl>
      <w:tblPr>
        <w:tblStyle w:val="TableGrid"/>
        <w:tblW w:w="0" w:type="auto"/>
        <w:tblLook w:val="04A0" w:firstRow="1" w:lastRow="0" w:firstColumn="1" w:lastColumn="0" w:noHBand="0" w:noVBand="1"/>
      </w:tblPr>
      <w:tblGrid>
        <w:gridCol w:w="9016"/>
      </w:tblGrid>
      <w:tr w:rsidR="000F024C" w:rsidRPr="007546E5" w14:paraId="796F9FCA" w14:textId="77777777" w:rsidTr="000F024C">
        <w:tc>
          <w:tcPr>
            <w:tcW w:w="9016" w:type="dxa"/>
          </w:tcPr>
          <w:p w14:paraId="51BB923F" w14:textId="77777777" w:rsidR="000F024C" w:rsidRPr="007546E5" w:rsidRDefault="000F024C" w:rsidP="000F024C">
            <w:pPr>
              <w:pStyle w:val="NormalWeb"/>
              <w:jc w:val="both"/>
              <w:rPr>
                <w:b/>
                <w:sz w:val="22"/>
                <w:szCs w:val="22"/>
                <w:lang w:val="sr-Latn-ME"/>
              </w:rPr>
            </w:pPr>
            <w:r w:rsidRPr="007546E5">
              <w:rPr>
                <w:b/>
                <w:sz w:val="22"/>
                <w:szCs w:val="22"/>
                <w:lang w:val="sr-Latn-ME"/>
              </w:rPr>
              <w:t>Preporučuje se da se registracija u PADOR-u izvrši znatno prije roka, te da se ne čeka posljednji trenutak prije isteka roka za podnošenje prijave putem sistema PROSPECT.</w:t>
            </w:r>
          </w:p>
          <w:p w14:paraId="39186F39" w14:textId="0B69C119" w:rsidR="000F024C" w:rsidRPr="007546E5" w:rsidRDefault="000F024C" w:rsidP="00712DA1">
            <w:pPr>
              <w:pStyle w:val="NormalWeb"/>
              <w:jc w:val="both"/>
              <w:rPr>
                <w:sz w:val="22"/>
                <w:szCs w:val="22"/>
                <w:lang w:val="sr-Latn-ME"/>
              </w:rPr>
            </w:pPr>
            <w:r w:rsidRPr="007546E5">
              <w:rPr>
                <w:sz w:val="22"/>
                <w:szCs w:val="22"/>
                <w:lang w:val="sr-Latn-ME"/>
              </w:rPr>
              <w:t xml:space="preserve">Prije početka korišćenja sistema PADOR i PROSPECT, potrebno je pročitati korisnička uputstva dostupna na internet stranici. Sva tehnička pitanja u vezi sa korišćenjem ovih sistema treba uputiti IT podršci na adresu </w:t>
            </w:r>
            <w:hyperlink r:id="rId44" w:history="1">
              <w:r w:rsidRPr="007546E5">
                <w:rPr>
                  <w:rStyle w:val="Hyperlink"/>
                  <w:sz w:val="22"/>
                  <w:szCs w:val="22"/>
                  <w:lang w:val="sr-Latn-ME"/>
                </w:rPr>
                <w:t>ec-external-relations-application-support@ec.europa.eu</w:t>
              </w:r>
            </w:hyperlink>
            <w:r w:rsidRPr="007546E5">
              <w:rPr>
                <w:sz w:val="22"/>
                <w:szCs w:val="22"/>
                <w:lang w:val="sr-Latn-ME"/>
              </w:rPr>
              <w:t xml:space="preserve">, </w:t>
            </w:r>
            <w:r w:rsidRPr="007546E5">
              <w:rPr>
                <w:b/>
                <w:sz w:val="22"/>
                <w:szCs w:val="22"/>
                <w:lang w:val="sr-Latn-ME"/>
              </w:rPr>
              <w:t>putem online formulara za podršku u okviru sistema PROSPECT.</w:t>
            </w:r>
          </w:p>
        </w:tc>
      </w:tr>
    </w:tbl>
    <w:p w14:paraId="5A93F346" w14:textId="77777777" w:rsidR="001A2234" w:rsidRPr="007546E5" w:rsidRDefault="001A2234" w:rsidP="001A2234">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2.2.1. Obrasci prijave</w:t>
      </w:r>
    </w:p>
    <w:p w14:paraId="78E8B44B" w14:textId="77777777" w:rsidR="001A2234" w:rsidRPr="007546E5" w:rsidRDefault="001A2234" w:rsidP="001A2234">
      <w:pPr>
        <w:pStyle w:val="NormalWeb"/>
        <w:jc w:val="both"/>
        <w:rPr>
          <w:sz w:val="22"/>
          <w:szCs w:val="22"/>
          <w:lang w:val="sr-Latn-ME"/>
        </w:rPr>
      </w:pPr>
      <w:r w:rsidRPr="007546E5">
        <w:rPr>
          <w:sz w:val="22"/>
          <w:szCs w:val="22"/>
          <w:lang w:val="sr-Latn-ME"/>
        </w:rPr>
        <w:t>Prijave moraju biti podnesene u skladu sa uputstvima za sažeti opis projekta i kompletnu prijavu, koristeći obrazac prijave za grant koji je priložen uz ove smjernice (Aneks A). Vodeći podnosioci prijava treba striktno da se pridržavaju formata obrasca prijave i da redom popune sve predviđene odjeljke i stranice.</w:t>
      </w:r>
    </w:p>
    <w:p w14:paraId="1259A8B8" w14:textId="77777777" w:rsidR="001A2234" w:rsidRPr="007546E5" w:rsidRDefault="001A2234" w:rsidP="001A2234">
      <w:pPr>
        <w:pStyle w:val="NormalWeb"/>
        <w:jc w:val="both"/>
        <w:rPr>
          <w:sz w:val="22"/>
          <w:szCs w:val="22"/>
          <w:lang w:val="sr-Latn-ME"/>
        </w:rPr>
      </w:pPr>
      <w:r w:rsidRPr="007546E5">
        <w:rPr>
          <w:sz w:val="22"/>
          <w:szCs w:val="22"/>
          <w:lang w:val="sr-Latn-ME"/>
        </w:rPr>
        <w:t>Podnosioci prijava moraju podnijeti prijavu na engleskom jeziku.</w:t>
      </w:r>
    </w:p>
    <w:p w14:paraId="66E1568F" w14:textId="234DBD86" w:rsidR="001A2234" w:rsidRPr="007546E5" w:rsidRDefault="001A2234" w:rsidP="001A2234">
      <w:pPr>
        <w:pStyle w:val="NormalWeb"/>
        <w:jc w:val="both"/>
        <w:rPr>
          <w:sz w:val="22"/>
          <w:szCs w:val="22"/>
          <w:lang w:val="sr-Latn-ME"/>
        </w:rPr>
      </w:pPr>
      <w:r w:rsidRPr="007546E5">
        <w:rPr>
          <w:sz w:val="22"/>
          <w:szCs w:val="22"/>
          <w:lang w:val="sr-Latn-ME"/>
        </w:rPr>
        <w:t>Molimo da obrazac prijave bude popunjen pažljivo i što je moguće jasnije, kako bi se omogućila pravilna evaluacija.</w:t>
      </w:r>
    </w:p>
    <w:tbl>
      <w:tblPr>
        <w:tblStyle w:val="TableGrid"/>
        <w:tblW w:w="0" w:type="auto"/>
        <w:tblLook w:val="04A0" w:firstRow="1" w:lastRow="0" w:firstColumn="1" w:lastColumn="0" w:noHBand="0" w:noVBand="1"/>
      </w:tblPr>
      <w:tblGrid>
        <w:gridCol w:w="9016"/>
      </w:tblGrid>
      <w:tr w:rsidR="001A2234" w:rsidRPr="007546E5" w14:paraId="37676DAE" w14:textId="77777777" w:rsidTr="001A2234">
        <w:tc>
          <w:tcPr>
            <w:tcW w:w="9016" w:type="dxa"/>
          </w:tcPr>
          <w:p w14:paraId="1517EF74" w14:textId="77777777" w:rsidR="001A2234" w:rsidRPr="007546E5" w:rsidRDefault="001A2234" w:rsidP="001A2234">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lastRenderedPageBreak/>
              <w:t>UPOZORENJE</w:t>
            </w:r>
          </w:p>
          <w:p w14:paraId="5249F01C" w14:textId="0A473197" w:rsidR="001A2234" w:rsidRPr="007546E5" w:rsidRDefault="001A2234" w:rsidP="001A2234">
            <w:pPr>
              <w:pStyle w:val="NormalWeb"/>
              <w:jc w:val="both"/>
              <w:rPr>
                <w:sz w:val="22"/>
                <w:szCs w:val="22"/>
                <w:lang w:val="sr-Latn-ME"/>
              </w:rPr>
            </w:pPr>
            <w:r w:rsidRPr="007546E5">
              <w:rPr>
                <w:sz w:val="22"/>
                <w:szCs w:val="22"/>
                <w:lang w:val="sr-Latn-ME"/>
              </w:rPr>
              <w:t xml:space="preserve">Naslov vašeg </w:t>
            </w:r>
            <w:r w:rsidR="002832D2" w:rsidRPr="007546E5">
              <w:rPr>
                <w:sz w:val="22"/>
                <w:szCs w:val="22"/>
                <w:lang w:val="sr-Latn-ME"/>
              </w:rPr>
              <w:t>prijedlog</w:t>
            </w:r>
            <w:r w:rsidRPr="007546E5">
              <w:rPr>
                <w:sz w:val="22"/>
                <w:szCs w:val="22"/>
                <w:lang w:val="sr-Latn-ME"/>
              </w:rPr>
              <w:t>a projekta, ukoliko bude odabran, postaće predmet ugovora o grantu koji će biti potpisan sa vašom organizacijom.</w:t>
            </w:r>
          </w:p>
          <w:p w14:paraId="798D3A22" w14:textId="649955A3" w:rsidR="001A2234" w:rsidRPr="007546E5" w:rsidRDefault="001A2234" w:rsidP="001A2234">
            <w:pPr>
              <w:pStyle w:val="NormalWeb"/>
              <w:jc w:val="both"/>
              <w:rPr>
                <w:sz w:val="22"/>
                <w:szCs w:val="22"/>
                <w:lang w:val="sr-Latn-ME"/>
              </w:rPr>
            </w:pPr>
            <w:r w:rsidRPr="007546E5">
              <w:rPr>
                <w:sz w:val="22"/>
                <w:szCs w:val="22"/>
                <w:lang w:val="sr-Latn-ME"/>
              </w:rPr>
              <w:t xml:space="preserve">Na </w:t>
            </w:r>
            <w:hyperlink r:id="rId45" w:history="1">
              <w:r w:rsidRPr="007546E5">
                <w:rPr>
                  <w:rStyle w:val="Hyperlink"/>
                  <w:sz w:val="22"/>
                  <w:szCs w:val="22"/>
                  <w:lang w:val="sr-Latn-ME"/>
                </w:rPr>
                <w:t>Europa internet stranici</w:t>
              </w:r>
            </w:hyperlink>
            <w:r w:rsidRPr="007546E5">
              <w:rPr>
                <w:sz w:val="22"/>
                <w:szCs w:val="22"/>
                <w:lang w:val="sr-Latn-ME"/>
              </w:rPr>
              <w:t xml:space="preserve">, polje „Public subject“, koje koristi naslov odabranog </w:t>
            </w:r>
            <w:r w:rsidR="002832D2" w:rsidRPr="007546E5">
              <w:rPr>
                <w:sz w:val="22"/>
                <w:szCs w:val="22"/>
                <w:lang w:val="sr-Latn-ME"/>
              </w:rPr>
              <w:t>prijedlog</w:t>
            </w:r>
            <w:r w:rsidRPr="007546E5">
              <w:rPr>
                <w:sz w:val="22"/>
                <w:szCs w:val="22"/>
                <w:lang w:val="sr-Latn-ME"/>
              </w:rPr>
              <w:t>a projekta, koristi se za objavljivanje u Sistem finansijske transparentnosti (FTS) za sve grantove EU. Ovo polje, namijenjeno široj javnosti, treba da pruži opšte i jasno objašnjenje svrhe troškova.</w:t>
            </w:r>
          </w:p>
          <w:p w14:paraId="39FC33FF" w14:textId="1D64DA72" w:rsidR="001A2234" w:rsidRPr="007546E5" w:rsidRDefault="001A2234" w:rsidP="001A2234">
            <w:pPr>
              <w:pStyle w:val="NormalWeb"/>
              <w:jc w:val="both"/>
              <w:rPr>
                <w:sz w:val="22"/>
                <w:szCs w:val="22"/>
                <w:lang w:val="sr-Latn-ME"/>
              </w:rPr>
            </w:pPr>
            <w:r w:rsidRPr="007546E5">
              <w:rPr>
                <w:sz w:val="22"/>
                <w:szCs w:val="22"/>
                <w:lang w:val="sr-Latn-ME"/>
              </w:rPr>
              <w:t xml:space="preserve">Stoga preporučujemo da predmet vašeg </w:t>
            </w:r>
            <w:r w:rsidR="002832D2" w:rsidRPr="007546E5">
              <w:rPr>
                <w:sz w:val="22"/>
                <w:szCs w:val="22"/>
                <w:lang w:val="sr-Latn-ME"/>
              </w:rPr>
              <w:t>prijedlog</w:t>
            </w:r>
            <w:r w:rsidRPr="007546E5">
              <w:rPr>
                <w:sz w:val="22"/>
                <w:szCs w:val="22"/>
                <w:lang w:val="sr-Latn-ME"/>
              </w:rPr>
              <w:t>a definišete u skladu sa sljedećim smjernicama:</w:t>
            </w:r>
          </w:p>
          <w:p w14:paraId="1B638B0A" w14:textId="77777777" w:rsidR="001A2234" w:rsidRPr="00501DCD" w:rsidRDefault="001A2234" w:rsidP="001A2234">
            <w:pPr>
              <w:pStyle w:val="NormalWeb"/>
              <w:jc w:val="both"/>
              <w:rPr>
                <w:b/>
                <w:sz w:val="22"/>
                <w:szCs w:val="22"/>
                <w:lang w:val="sr-Latn-ME"/>
              </w:rPr>
            </w:pPr>
            <w:r w:rsidRPr="00501DCD">
              <w:rPr>
                <w:rStyle w:val="Strong"/>
                <w:b w:val="0"/>
                <w:sz w:val="22"/>
                <w:szCs w:val="22"/>
                <w:lang w:val="sr-Latn-ME"/>
              </w:rPr>
              <w:t>Odgovarajući predmet:</w:t>
            </w:r>
          </w:p>
          <w:p w14:paraId="54D9CA76" w14:textId="77777777" w:rsidR="001A2234" w:rsidRPr="007546E5" w:rsidRDefault="001A2234" w:rsidP="001A2234">
            <w:pPr>
              <w:numPr>
                <w:ilvl w:val="0"/>
                <w:numId w:val="19"/>
              </w:numPr>
              <w:spacing w:before="100" w:beforeAutospacing="1" w:after="100" w:afterAutospacing="1"/>
              <w:jc w:val="both"/>
              <w:rPr>
                <w:rFonts w:ascii="Times New Roman" w:hAnsi="Times New Roman" w:cs="Times New Roman"/>
              </w:rPr>
            </w:pPr>
            <w:r w:rsidRPr="007546E5">
              <w:rPr>
                <w:rFonts w:ascii="Times New Roman" w:hAnsi="Times New Roman" w:cs="Times New Roman"/>
              </w:rPr>
              <w:t xml:space="preserve">odnosi se na sadržaj projekta ili njegov cilj; </w:t>
            </w:r>
          </w:p>
          <w:p w14:paraId="4238E3D0" w14:textId="77777777" w:rsidR="001A2234" w:rsidRPr="007546E5" w:rsidRDefault="001A2234" w:rsidP="001A2234">
            <w:pPr>
              <w:numPr>
                <w:ilvl w:val="0"/>
                <w:numId w:val="19"/>
              </w:numPr>
              <w:spacing w:before="100" w:beforeAutospacing="1" w:after="100" w:afterAutospacing="1"/>
              <w:jc w:val="both"/>
              <w:rPr>
                <w:rFonts w:ascii="Times New Roman" w:hAnsi="Times New Roman" w:cs="Times New Roman"/>
              </w:rPr>
            </w:pPr>
            <w:r w:rsidRPr="007546E5">
              <w:rPr>
                <w:rFonts w:ascii="Times New Roman" w:hAnsi="Times New Roman" w:cs="Times New Roman"/>
              </w:rPr>
              <w:t xml:space="preserve">ne ponavlja informacije dostupne u drugim poljima, kao što su naziv korisnika, program ili godina; </w:t>
            </w:r>
          </w:p>
          <w:p w14:paraId="1B887F54" w14:textId="77777777" w:rsidR="001A2234" w:rsidRPr="007546E5" w:rsidRDefault="001A2234" w:rsidP="001A2234">
            <w:pPr>
              <w:numPr>
                <w:ilvl w:val="0"/>
                <w:numId w:val="19"/>
              </w:numPr>
              <w:spacing w:before="100" w:beforeAutospacing="1" w:after="100" w:afterAutospacing="1"/>
              <w:jc w:val="both"/>
              <w:rPr>
                <w:rFonts w:ascii="Times New Roman" w:hAnsi="Times New Roman" w:cs="Times New Roman"/>
              </w:rPr>
            </w:pPr>
            <w:r w:rsidRPr="007546E5">
              <w:rPr>
                <w:rFonts w:ascii="Times New Roman" w:hAnsi="Times New Roman" w:cs="Times New Roman"/>
              </w:rPr>
              <w:t xml:space="preserve">poželjno je da bude napisan na engleskom jeziku; </w:t>
            </w:r>
          </w:p>
          <w:p w14:paraId="5E89680B" w14:textId="77777777" w:rsidR="001A2234" w:rsidRPr="007546E5" w:rsidRDefault="001A2234" w:rsidP="001A2234">
            <w:pPr>
              <w:numPr>
                <w:ilvl w:val="0"/>
                <w:numId w:val="19"/>
              </w:numPr>
              <w:spacing w:before="100" w:beforeAutospacing="1" w:after="100" w:afterAutospacing="1"/>
              <w:jc w:val="both"/>
              <w:rPr>
                <w:rFonts w:ascii="Times New Roman" w:hAnsi="Times New Roman" w:cs="Times New Roman"/>
              </w:rPr>
            </w:pPr>
            <w:r w:rsidRPr="007546E5">
              <w:rPr>
                <w:rFonts w:ascii="Times New Roman" w:hAnsi="Times New Roman" w:cs="Times New Roman"/>
              </w:rPr>
              <w:t xml:space="preserve">može sadržati akronime ukoliko su relevantni za građane; </w:t>
            </w:r>
          </w:p>
          <w:p w14:paraId="5FF7904B" w14:textId="45145535" w:rsidR="001A2234" w:rsidRPr="007546E5" w:rsidRDefault="001A2234" w:rsidP="001A2234">
            <w:pPr>
              <w:numPr>
                <w:ilvl w:val="0"/>
                <w:numId w:val="19"/>
              </w:numPr>
              <w:spacing w:before="100" w:beforeAutospacing="1" w:after="100" w:afterAutospacing="1"/>
              <w:jc w:val="both"/>
              <w:rPr>
                <w:rFonts w:ascii="Times New Roman" w:hAnsi="Times New Roman" w:cs="Times New Roman"/>
              </w:rPr>
            </w:pPr>
            <w:r w:rsidRPr="007546E5">
              <w:rPr>
                <w:rFonts w:ascii="Times New Roman" w:hAnsi="Times New Roman" w:cs="Times New Roman"/>
              </w:rPr>
              <w:t xml:space="preserve">može sadržati referencu na projekat ili program. </w:t>
            </w:r>
          </w:p>
        </w:tc>
      </w:tr>
    </w:tbl>
    <w:p w14:paraId="57527A45" w14:textId="77777777" w:rsidR="001A2234" w:rsidRPr="007546E5" w:rsidRDefault="001A2234" w:rsidP="001A2234">
      <w:pPr>
        <w:pStyle w:val="NormalWeb"/>
        <w:jc w:val="both"/>
        <w:rPr>
          <w:sz w:val="22"/>
          <w:szCs w:val="22"/>
          <w:lang w:val="sr-Latn-ME"/>
        </w:rPr>
      </w:pPr>
      <w:r w:rsidRPr="007546E5">
        <w:rPr>
          <w:sz w:val="22"/>
          <w:szCs w:val="22"/>
          <w:lang w:val="sr-Latn-ME"/>
        </w:rPr>
        <w:t>Svaka greška ili veće odstupanje u odnosu na zahtjeve navedene u uputstvima za sažeti opis projekta, kao i svaka značajna nedosljednost u prijavi (npr. ako iznosi u budžetskim tabelama nijesu usklađeni), može dovesti do odbijanja prijave.</w:t>
      </w:r>
    </w:p>
    <w:p w14:paraId="12298468" w14:textId="77777777" w:rsidR="001A2234" w:rsidRPr="007546E5" w:rsidRDefault="001A2234" w:rsidP="001A2234">
      <w:pPr>
        <w:pStyle w:val="NormalWeb"/>
        <w:jc w:val="both"/>
        <w:rPr>
          <w:sz w:val="22"/>
          <w:szCs w:val="22"/>
          <w:lang w:val="sr-Latn-ME"/>
        </w:rPr>
      </w:pPr>
      <w:r w:rsidRPr="007546E5">
        <w:rPr>
          <w:sz w:val="22"/>
          <w:szCs w:val="22"/>
          <w:lang w:val="sr-Latn-ME"/>
        </w:rPr>
        <w:t>Pojašnjenja će biti tražena samo u slučajevima kada su dostavljene informacije nejasne i onemogućavaju ugovorno tijelo da izvrši objektivnu procjenu.</w:t>
      </w:r>
    </w:p>
    <w:p w14:paraId="5DC94D5D" w14:textId="77777777" w:rsidR="001A2234" w:rsidRPr="007546E5" w:rsidRDefault="001A2234" w:rsidP="001A2234">
      <w:pPr>
        <w:pStyle w:val="NormalWeb"/>
        <w:jc w:val="both"/>
        <w:rPr>
          <w:sz w:val="22"/>
          <w:szCs w:val="22"/>
          <w:lang w:val="sr-Latn-ME"/>
        </w:rPr>
      </w:pPr>
      <w:r w:rsidRPr="007546E5">
        <w:rPr>
          <w:sz w:val="22"/>
          <w:szCs w:val="22"/>
          <w:lang w:val="sr-Latn-ME"/>
        </w:rPr>
        <w:t>Napominje se da će se ocjenjivati isključivo obrazac prijave za grant i objavljeni aneksi koje je potrebno popuniti (budžet, logički okvir). Stoga je od izuzetne važnosti da ovi dokumenti sadrže SVE relevantne informacije o akciji.</w:t>
      </w:r>
    </w:p>
    <w:p w14:paraId="26704E30" w14:textId="6657A663" w:rsidR="001A2234" w:rsidRPr="007546E5" w:rsidRDefault="001A2234" w:rsidP="001A2234">
      <w:pPr>
        <w:pStyle w:val="NormalWeb"/>
        <w:jc w:val="both"/>
        <w:rPr>
          <w:b/>
          <w:sz w:val="22"/>
          <w:szCs w:val="22"/>
          <w:lang w:val="sr-Latn-ME"/>
        </w:rPr>
      </w:pPr>
      <w:r w:rsidRPr="007546E5">
        <w:rPr>
          <w:b/>
          <w:sz w:val="22"/>
          <w:szCs w:val="22"/>
          <w:lang w:val="sr-Latn-ME"/>
        </w:rPr>
        <w:t>Napominje se da nepotpune prijave mogu biti odbijene. Vodećim podnosiocima prijava se preporučuje da provjere potpunost svoje prijave koristeći kontrolnu listu (Aneksi A.1 i A.2, Uputstva). Ukoliko iz tehničkih razloga ili zbog povjerljivosti i bezbjednosnih pitanja nije moguće izvršiti registraciju u PADOR-u putem interneta, vodeći podnosilac prijave mora zajedno sa prijavom dostaviti popunjen obrazac za registraciju u PADOR-u (Aneks F) za vodećeg podnosioca prijave, svakog su-podnosioca prijave (ukoliko postoji) i svaki povezani subjekt (ukoliko postoji).</w:t>
      </w:r>
    </w:p>
    <w:p w14:paraId="22E8D977" w14:textId="77777777" w:rsidR="001A2234" w:rsidRPr="007546E5" w:rsidRDefault="001A2234" w:rsidP="001A2234">
      <w:p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Pored toga, sljedeći dokumenti moraju biti dostavljeni do roka za podnošenje prijava, zajedno sa obrascem prijave:</w:t>
      </w:r>
    </w:p>
    <w:p w14:paraId="59EB6BDE" w14:textId="6EE11C43" w:rsidR="001A2234" w:rsidRPr="007546E5" w:rsidRDefault="001A2234" w:rsidP="001A2234">
      <w:pPr>
        <w:numPr>
          <w:ilvl w:val="0"/>
          <w:numId w:val="20"/>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bCs/>
          <w:lang w:eastAsia="en-GB"/>
        </w:rPr>
        <w:t>Statut ili osnivački akt</w:t>
      </w:r>
      <w:r w:rsidRPr="007546E5">
        <w:rPr>
          <w:rFonts w:ascii="Times New Roman" w:eastAsia="Times New Roman" w:hAnsi="Times New Roman" w:cs="Times New Roman"/>
          <w:lang w:eastAsia="en-GB"/>
        </w:rPr>
        <w:t xml:space="preserve"> vodećeg podnosioca prijave, (ukoliko postoji) svakog su-podnosioca prijave i (ukoliko postoji) svakog povezanog subjekta. Ukoliko je ugovorno tijelo već priznalo prihvatljivost vodećeg podnosioca prijave, su-podnosioca prijave ili njihovih povezanih subjekata u okviru drugog poziva za dostavljanje </w:t>
      </w:r>
      <w:r w:rsidR="002832D2" w:rsidRPr="007546E5">
        <w:rPr>
          <w:rFonts w:ascii="Times New Roman" w:eastAsia="Times New Roman" w:hAnsi="Times New Roman" w:cs="Times New Roman"/>
          <w:lang w:eastAsia="en-GB"/>
        </w:rPr>
        <w:t>prijedlog</w:t>
      </w:r>
      <w:r w:rsidRPr="007546E5">
        <w:rPr>
          <w:rFonts w:ascii="Times New Roman" w:eastAsia="Times New Roman" w:hAnsi="Times New Roman" w:cs="Times New Roman"/>
          <w:lang w:eastAsia="en-GB"/>
        </w:rPr>
        <w:t xml:space="preserve">a projekata po istoj budžetskoj liniji u periodu od 2 godine prije roka za podnošenje prijava, umjesto toga se dostavlja kopija dokumenta koji potvrđuje njihovu prihvatljivost u prethodnom pozivu (npr. kopija posebnih uslova ugovora o grantu zaključenog tokom referentnog perioda), osim ako </w:t>
      </w:r>
      <w:r w:rsidR="004C5D3B">
        <w:rPr>
          <w:rFonts w:ascii="Times New Roman" w:eastAsia="Times New Roman" w:hAnsi="Times New Roman" w:cs="Times New Roman"/>
          <w:lang w:eastAsia="en-GB"/>
        </w:rPr>
        <w:t>se</w:t>
      </w:r>
      <w:r w:rsidRPr="007546E5">
        <w:rPr>
          <w:rFonts w:ascii="Times New Roman" w:eastAsia="Times New Roman" w:hAnsi="Times New Roman" w:cs="Times New Roman"/>
          <w:lang w:eastAsia="en-GB"/>
        </w:rPr>
        <w:t xml:space="preserve"> u međuvremenu </w:t>
      </w:r>
      <w:r w:rsidR="004C5D3B">
        <w:rPr>
          <w:rFonts w:ascii="Times New Roman" w:eastAsia="Times New Roman" w:hAnsi="Times New Roman" w:cs="Times New Roman"/>
          <w:lang w:eastAsia="en-GB"/>
        </w:rPr>
        <w:t>dogodila</w:t>
      </w:r>
      <w:r w:rsidRPr="007546E5">
        <w:rPr>
          <w:rFonts w:ascii="Times New Roman" w:eastAsia="Times New Roman" w:hAnsi="Times New Roman" w:cs="Times New Roman"/>
          <w:lang w:eastAsia="en-GB"/>
        </w:rPr>
        <w:t xml:space="preserve"> promjen</w:t>
      </w:r>
      <w:r w:rsidR="004C5D3B">
        <w:rPr>
          <w:rFonts w:ascii="Times New Roman" w:eastAsia="Times New Roman" w:hAnsi="Times New Roman" w:cs="Times New Roman"/>
          <w:lang w:eastAsia="en-GB"/>
        </w:rPr>
        <w:t>a</w:t>
      </w:r>
      <w:r w:rsidRPr="007546E5">
        <w:rPr>
          <w:rFonts w:ascii="Times New Roman" w:eastAsia="Times New Roman" w:hAnsi="Times New Roman" w:cs="Times New Roman"/>
          <w:lang w:eastAsia="en-GB"/>
        </w:rPr>
        <w:t xml:space="preserve"> pravnog statusa. Ova obaveza se ne odnosi na međunarodne organizacije koje su prošle tzv. „pillar assessment“. </w:t>
      </w:r>
    </w:p>
    <w:p w14:paraId="10D6EE53" w14:textId="2781F6B7" w:rsidR="001A2234" w:rsidRPr="007546E5" w:rsidRDefault="001A2234" w:rsidP="001A2234">
      <w:pPr>
        <w:numPr>
          <w:ilvl w:val="0"/>
          <w:numId w:val="20"/>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bCs/>
          <w:lang w:eastAsia="en-GB"/>
        </w:rPr>
        <w:lastRenderedPageBreak/>
        <w:t>Izjava o časti</w:t>
      </w:r>
      <w:r w:rsidRPr="007546E5">
        <w:rPr>
          <w:rFonts w:ascii="Times New Roman" w:eastAsia="Times New Roman" w:hAnsi="Times New Roman" w:cs="Times New Roman"/>
          <w:lang w:eastAsia="en-GB"/>
        </w:rPr>
        <w:t xml:space="preserve"> (Aneks H ovih smjernica), potpisana od strane vodećeg podnosioca prijave, kao i svih su-podnosilaca prijava i povezanih subjekata, kojom potvrđuju da se ne nalaze ni u jednoj od situacija za isključenje (vidjeti odjeljak 2.4.2 Praktičnog vodiča), u slučajevima kada iznos granta prelazi 15.000 EUR. </w:t>
      </w:r>
    </w:p>
    <w:p w14:paraId="2081AE76" w14:textId="3FE29CD4" w:rsidR="001A2234" w:rsidRPr="007546E5" w:rsidRDefault="001A2234" w:rsidP="001A2234">
      <w:p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Pored toga, u svrhu procjene finansijskog kapaciteta, potrebno je dostaviti sljedeće dokumente</w:t>
      </w:r>
      <w:r w:rsidRPr="007546E5">
        <w:rPr>
          <w:rStyle w:val="FootnoteReference"/>
          <w:rFonts w:ascii="Times New Roman" w:eastAsia="Times New Roman" w:hAnsi="Times New Roman" w:cs="Times New Roman"/>
          <w:lang w:eastAsia="en-GB"/>
        </w:rPr>
        <w:footnoteReference w:id="21"/>
      </w:r>
      <w:r w:rsidRPr="007546E5">
        <w:rPr>
          <w:rFonts w:ascii="Times New Roman" w:eastAsia="Times New Roman" w:hAnsi="Times New Roman" w:cs="Times New Roman"/>
          <w:lang w:eastAsia="en-GB"/>
        </w:rPr>
        <w:t>:</w:t>
      </w:r>
    </w:p>
    <w:p w14:paraId="29FE7A70" w14:textId="6CC037DD" w:rsidR="001A2234" w:rsidRPr="007546E5" w:rsidRDefault="001A2234" w:rsidP="001A2234">
      <w:pPr>
        <w:pStyle w:val="ListParagraph"/>
        <w:numPr>
          <w:ilvl w:val="0"/>
          <w:numId w:val="21"/>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 xml:space="preserve"> Za grantove za akcije u iznosu većem od 750.000 EUR i za operativne grantove veće od 100.000 EUR, vodeći podnosilac prijave mora dostaviti revizorski izvještaj koji je izradio ovlašćeni eksterni revizor, ukoliko je dostupan, </w:t>
      </w:r>
      <w:r w:rsidR="00105A12">
        <w:rPr>
          <w:rFonts w:ascii="Times New Roman" w:eastAsia="Times New Roman" w:hAnsi="Times New Roman" w:cs="Times New Roman"/>
          <w:lang w:eastAsia="en-GB"/>
        </w:rPr>
        <w:t>dok je to</w:t>
      </w:r>
      <w:r w:rsidRPr="007546E5">
        <w:rPr>
          <w:rFonts w:ascii="Times New Roman" w:eastAsia="Times New Roman" w:hAnsi="Times New Roman" w:cs="Times New Roman"/>
          <w:lang w:eastAsia="en-GB"/>
        </w:rPr>
        <w:t xml:space="preserve"> obavezno u slučajevima kada je zakonska revizija propisana pravom EU ili nacionalnim zakonodavstvom. Ovaj izvještaj treba da potvrdi finansijske izvještaje vodećeg podnosioca prijave za posljednje tri dostupne finansijske godine.</w:t>
      </w:r>
    </w:p>
    <w:p w14:paraId="36E83236" w14:textId="77777777" w:rsidR="001A2234" w:rsidRPr="007546E5" w:rsidRDefault="001A2234" w:rsidP="001A2234">
      <w:pPr>
        <w:pStyle w:val="ListParagraph"/>
        <w:spacing w:before="100" w:beforeAutospacing="1" w:after="100" w:afterAutospacing="1" w:line="240" w:lineRule="auto"/>
        <w:jc w:val="both"/>
        <w:rPr>
          <w:rFonts w:ascii="Times New Roman" w:eastAsia="Times New Roman" w:hAnsi="Times New Roman" w:cs="Times New Roman"/>
          <w:lang w:eastAsia="en-GB"/>
        </w:rPr>
      </w:pPr>
    </w:p>
    <w:p w14:paraId="63A255B8" w14:textId="77777777" w:rsidR="001A2234" w:rsidRPr="007546E5" w:rsidRDefault="001A2234" w:rsidP="001A2234">
      <w:pPr>
        <w:pStyle w:val="ListParagraph"/>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U svim drugim slučajevima, vodeći podnosilac prijave dostavlja izjavu potpisanu od strane ovlašćenog predstavnika, kojom potvrđuje vjerodostojnost svojih finansijskih izvještaja za posljednje tri dostupne finansijske godine. Ovaj zahtjev se primjenjuje samo na prvu prijavu koju podnosilac prijave podnosi ugovornom tijelu u toku jedne finansijske godine.</w:t>
      </w:r>
    </w:p>
    <w:p w14:paraId="6BB4A270" w14:textId="04DB1431" w:rsidR="001A2234" w:rsidRPr="007546E5" w:rsidRDefault="001A2234" w:rsidP="001A2234">
      <w:pPr>
        <w:spacing w:before="100" w:beforeAutospacing="1" w:after="100" w:afterAutospacing="1" w:line="240" w:lineRule="auto"/>
        <w:ind w:left="720"/>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Revizorski izvještaj, kao i izjava o vjerodostojnosti finansijskih izvještaja, nijesu potrebni za su-podnosioce prijava niti za povezane subjekte (ukoliko postoje).</w:t>
      </w:r>
    </w:p>
    <w:p w14:paraId="4B970273" w14:textId="7D777624" w:rsidR="001A2234" w:rsidRPr="007546E5" w:rsidRDefault="001A2234" w:rsidP="001A2234">
      <w:pPr>
        <w:pStyle w:val="ListParagraph"/>
        <w:numPr>
          <w:ilvl w:val="0"/>
          <w:numId w:val="21"/>
        </w:numPr>
        <w:spacing w:before="100" w:beforeAutospacing="1" w:after="100" w:afterAutospacing="1" w:line="240" w:lineRule="auto"/>
        <w:jc w:val="both"/>
        <w:rPr>
          <w:rFonts w:ascii="Times New Roman" w:eastAsia="Times New Roman" w:hAnsi="Times New Roman" w:cs="Times New Roman"/>
          <w:lang w:eastAsia="en-GB"/>
        </w:rPr>
      </w:pPr>
      <w:r w:rsidRPr="007546E5">
        <w:rPr>
          <w:rFonts w:ascii="Times New Roman" w:eastAsia="Times New Roman" w:hAnsi="Times New Roman" w:cs="Times New Roman"/>
          <w:lang w:eastAsia="en-GB"/>
        </w:rPr>
        <w:t>Kopija najnovijih finansijskih izvještaja vodećeg podnosioca prijave (bilans uspjeha i bilans stanja za posljednju finansijsku godinu za koju su izvještaji zaključeni). Kopija finansijskih izvještaja nije potrebna za su-podnosioce prijava (ukoliko postoje) niti za povezane subjekte (ukoliko postoje).</w:t>
      </w:r>
    </w:p>
    <w:p w14:paraId="0354307C" w14:textId="3AAF3EDA" w:rsidR="00EA2C7C" w:rsidRPr="007546E5" w:rsidRDefault="00EA2C7C" w:rsidP="00EA2C7C">
      <w:pPr>
        <w:pStyle w:val="NormalWeb"/>
        <w:jc w:val="both"/>
        <w:rPr>
          <w:sz w:val="22"/>
          <w:szCs w:val="22"/>
          <w:lang w:val="sr-Latn-ME"/>
        </w:rPr>
      </w:pPr>
      <w:r w:rsidRPr="007546E5">
        <w:rPr>
          <w:sz w:val="22"/>
          <w:szCs w:val="22"/>
          <w:lang w:val="sr-Latn-ME"/>
        </w:rPr>
        <w:t>Ovi dokumenti moraju biti dostavljeni u obliku originala (sa potpisom plavim mastilom ili primjenom kvalifikovanog elektronskog potpisa – QES</w:t>
      </w:r>
      <w:r w:rsidR="00A87E4E" w:rsidRPr="007546E5">
        <w:rPr>
          <w:rStyle w:val="FootnoteReference"/>
          <w:sz w:val="22"/>
          <w:szCs w:val="22"/>
          <w:lang w:val="sr-Latn-ME"/>
        </w:rPr>
        <w:footnoteReference w:id="22"/>
      </w:r>
      <w:r w:rsidRPr="007546E5">
        <w:rPr>
          <w:sz w:val="22"/>
          <w:szCs w:val="22"/>
          <w:lang w:val="sr-Latn-ME"/>
        </w:rPr>
        <w:t>), fotokopija ili skeniranih verzija originala potpisanih plavim mastilom (tj. sa jasno vidljivim pečatima, potpisima i datumima). Kada se dostavljaju fotokopije ili skenirane kopije, originali moraju biti sačuvani za potrebe kontrole u skladu sa obavezama čuvanja dokumentacije utvrđenim u odjeljku 2.5.5 Praktičnog vodiča.</w:t>
      </w:r>
    </w:p>
    <w:p w14:paraId="4FD4BBE5" w14:textId="77777777" w:rsidR="00EA2C7C" w:rsidRPr="007546E5" w:rsidRDefault="00EA2C7C" w:rsidP="00EA2C7C">
      <w:pPr>
        <w:pStyle w:val="NormalWeb"/>
        <w:jc w:val="both"/>
        <w:rPr>
          <w:sz w:val="22"/>
          <w:szCs w:val="22"/>
          <w:lang w:val="sr-Latn-ME"/>
        </w:rPr>
      </w:pPr>
      <w:r w:rsidRPr="007546E5">
        <w:rPr>
          <w:sz w:val="22"/>
          <w:szCs w:val="22"/>
          <w:lang w:val="sr-Latn-ME"/>
        </w:rPr>
        <w:t>Ukoliko ovi dokumenti nijesu na jednom od službenih jezika Evropske unije ili na jeziku zemlje u kojoj se akcija sprovodi, mora se dostaviti prevod relevantnih djelova na engleski jezik, koji potvrđuju prihvatljivost vodećeg podnosioca prijave i, gdje je primjenjivo, su-podnosilaca prijava i povezanih subjekata, u svrhu analize prijave.</w:t>
      </w:r>
    </w:p>
    <w:p w14:paraId="2F391889" w14:textId="77777777" w:rsidR="00EA2C7C" w:rsidRPr="007546E5" w:rsidRDefault="00EA2C7C" w:rsidP="00EA2C7C">
      <w:pPr>
        <w:pStyle w:val="NormalWeb"/>
        <w:jc w:val="both"/>
        <w:rPr>
          <w:sz w:val="22"/>
          <w:szCs w:val="22"/>
          <w:lang w:val="sr-Latn-ME"/>
        </w:rPr>
      </w:pPr>
      <w:r w:rsidRPr="007546E5">
        <w:rPr>
          <w:sz w:val="22"/>
          <w:szCs w:val="22"/>
          <w:lang w:val="sr-Latn-ME"/>
        </w:rPr>
        <w:t>Ukoliko su ovi dokumenti na službenom jeziku Evropske unije koji nije engleski, snažno se preporučuje da se, radi olakšavanja evaluacije, dostavi prevod relevantnih djelova dokumenata na engleski jezik, koji potvrđuju prihvatljivost vodećeg podnosioca prijave i, gdje je primjenjivo, su-podnosilaca prijava i povezanih subjekata.</w:t>
      </w:r>
    </w:p>
    <w:p w14:paraId="3C6F102B" w14:textId="448DDB48" w:rsidR="00EA2C7C" w:rsidRPr="007546E5" w:rsidRDefault="00EA2C7C" w:rsidP="00EA2C7C">
      <w:pPr>
        <w:pStyle w:val="NormalWeb"/>
        <w:jc w:val="both"/>
        <w:rPr>
          <w:sz w:val="22"/>
          <w:szCs w:val="22"/>
          <w:lang w:val="sr-Latn-ME"/>
        </w:rPr>
      </w:pPr>
      <w:r w:rsidRPr="007546E5">
        <w:rPr>
          <w:sz w:val="22"/>
          <w:szCs w:val="22"/>
          <w:lang w:val="sr-Latn-ME"/>
        </w:rPr>
        <w:lastRenderedPageBreak/>
        <w:t xml:space="preserve">Podnosioci prijava treba da uzmu u obzir vrijeme </w:t>
      </w:r>
      <w:r w:rsidR="00D2771A">
        <w:rPr>
          <w:sz w:val="22"/>
          <w:szCs w:val="22"/>
          <w:lang w:val="sr-Latn-ME"/>
        </w:rPr>
        <w:t xml:space="preserve">koje je </w:t>
      </w:r>
      <w:r w:rsidRPr="007546E5">
        <w:rPr>
          <w:sz w:val="22"/>
          <w:szCs w:val="22"/>
          <w:lang w:val="sr-Latn-ME"/>
        </w:rPr>
        <w:t>potrebno za pribavljanje zvaničnih dokumenata od nadležnih nacionalnih organa, kao i za prevođenje tih dokumenata na dozvoljene jezike, prilikom registracije podataka u PADOR-u.</w:t>
      </w:r>
    </w:p>
    <w:p w14:paraId="0BCC17A4" w14:textId="77777777" w:rsidR="00EA2C7C" w:rsidRPr="007546E5" w:rsidRDefault="00EA2C7C" w:rsidP="00EA2C7C">
      <w:pPr>
        <w:pStyle w:val="NormalWeb"/>
        <w:jc w:val="both"/>
        <w:rPr>
          <w:sz w:val="22"/>
          <w:szCs w:val="22"/>
          <w:lang w:val="sr-Latn-ME"/>
        </w:rPr>
      </w:pPr>
      <w:r w:rsidRPr="007546E5">
        <w:rPr>
          <w:sz w:val="22"/>
          <w:szCs w:val="22"/>
          <w:lang w:val="sr-Latn-ME"/>
        </w:rPr>
        <w:t>Ukoliko gore navedena prateća dokumentacija ne bude dostavljena do roka za podnošenje obrasca prijave, prijava može biti odbijena.</w:t>
      </w:r>
    </w:p>
    <w:p w14:paraId="2FB3B623" w14:textId="2FDDAE91" w:rsidR="00EA2C7C" w:rsidRPr="007546E5" w:rsidRDefault="00EA2C7C" w:rsidP="00EA2C7C">
      <w:pPr>
        <w:pStyle w:val="NormalWeb"/>
        <w:jc w:val="both"/>
        <w:rPr>
          <w:sz w:val="22"/>
          <w:szCs w:val="22"/>
          <w:lang w:val="sr-Latn-ME"/>
        </w:rPr>
      </w:pPr>
      <w:r w:rsidRPr="007546E5">
        <w:rPr>
          <w:sz w:val="22"/>
          <w:szCs w:val="22"/>
          <w:lang w:val="sr-Latn-ME"/>
        </w:rPr>
        <w:t>Dodatn</w:t>
      </w:r>
      <w:r w:rsidR="003524EF">
        <w:rPr>
          <w:sz w:val="22"/>
          <w:szCs w:val="22"/>
          <w:lang w:val="sr-Latn-ME"/>
        </w:rPr>
        <w:t>e</w:t>
      </w:r>
      <w:r w:rsidRPr="007546E5">
        <w:rPr>
          <w:sz w:val="22"/>
          <w:szCs w:val="22"/>
          <w:lang w:val="sr-Latn-ME"/>
        </w:rPr>
        <w:t xml:space="preserve"> aneks</w:t>
      </w:r>
      <w:r w:rsidR="003524EF">
        <w:rPr>
          <w:sz w:val="22"/>
          <w:szCs w:val="22"/>
          <w:lang w:val="sr-Latn-ME"/>
        </w:rPr>
        <w:t>e</w:t>
      </w:r>
      <w:r w:rsidRPr="007546E5">
        <w:rPr>
          <w:sz w:val="22"/>
          <w:szCs w:val="22"/>
          <w:lang w:val="sr-Latn-ME"/>
        </w:rPr>
        <w:t xml:space="preserve"> ne treba dostavlja</w:t>
      </w:r>
      <w:r w:rsidR="003524EF">
        <w:rPr>
          <w:sz w:val="22"/>
          <w:szCs w:val="22"/>
          <w:lang w:val="sr-Latn-ME"/>
        </w:rPr>
        <w:t>ti</w:t>
      </w:r>
      <w:r w:rsidRPr="007546E5">
        <w:rPr>
          <w:sz w:val="22"/>
          <w:szCs w:val="22"/>
          <w:lang w:val="sr-Latn-ME"/>
        </w:rPr>
        <w:t>.</w:t>
      </w:r>
    </w:p>
    <w:p w14:paraId="6CE9B856" w14:textId="77777777" w:rsidR="004E4316" w:rsidRPr="007546E5" w:rsidRDefault="004E4316" w:rsidP="004E4316">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2.2.2. Gdje i kako podnijeti prijave</w:t>
      </w:r>
    </w:p>
    <w:p w14:paraId="21D06A56" w14:textId="66DD5FE3" w:rsidR="004E4316" w:rsidRPr="007546E5" w:rsidRDefault="004E4316" w:rsidP="004E4316">
      <w:pPr>
        <w:pStyle w:val="NormalWeb"/>
        <w:jc w:val="both"/>
        <w:rPr>
          <w:sz w:val="22"/>
          <w:szCs w:val="22"/>
          <w:lang w:val="sr-Latn-ME"/>
        </w:rPr>
      </w:pPr>
      <w:r w:rsidRPr="007546E5">
        <w:rPr>
          <w:sz w:val="22"/>
          <w:szCs w:val="22"/>
          <w:lang w:val="sr-Latn-ME"/>
        </w:rPr>
        <w:t xml:space="preserve">Prijave se </w:t>
      </w:r>
      <w:r w:rsidRPr="007546E5">
        <w:rPr>
          <w:b/>
          <w:sz w:val="22"/>
          <w:szCs w:val="22"/>
          <w:lang w:val="sr-Latn-ME"/>
        </w:rPr>
        <w:t>moraju podnijeti online</w:t>
      </w:r>
      <w:r w:rsidRPr="007546E5">
        <w:rPr>
          <w:sz w:val="22"/>
          <w:szCs w:val="22"/>
          <w:lang w:val="sr-Latn-ME"/>
        </w:rPr>
        <w:t xml:space="preserve"> putem </w:t>
      </w:r>
      <w:r w:rsidR="00D2771A">
        <w:rPr>
          <w:sz w:val="22"/>
          <w:szCs w:val="22"/>
          <w:lang w:val="sr-Latn-ME"/>
        </w:rPr>
        <w:t>s</w:t>
      </w:r>
      <w:r w:rsidRPr="007546E5">
        <w:rPr>
          <w:sz w:val="22"/>
          <w:szCs w:val="22"/>
          <w:lang w:val="sr-Latn-ME"/>
        </w:rPr>
        <w:t>istema PROSPECT:</w:t>
      </w:r>
      <w:hyperlink r:id="rId46" w:history="1">
        <w:r w:rsidRPr="007546E5">
          <w:rPr>
            <w:rStyle w:val="Hyperlink"/>
            <w:sz w:val="22"/>
            <w:szCs w:val="22"/>
            <w:lang w:val="sr-Latn-ME"/>
          </w:rPr>
          <w:t>https://webgate.ec.europa.eu/prospect</w:t>
        </w:r>
      </w:hyperlink>
      <w:r w:rsidRPr="007546E5">
        <w:rPr>
          <w:sz w:val="22"/>
          <w:szCs w:val="22"/>
          <w:lang w:val="sr-Latn-ME"/>
        </w:rPr>
        <w:t xml:space="preserve"> uz poštovanje uputstava navedenih u korisničkom priručniku za PROSPECT.</w:t>
      </w:r>
    </w:p>
    <w:p w14:paraId="538C3C4F" w14:textId="77777777" w:rsidR="004E4316" w:rsidRPr="007546E5" w:rsidRDefault="004E4316" w:rsidP="004E4316">
      <w:pPr>
        <w:pStyle w:val="NormalWeb"/>
        <w:jc w:val="both"/>
        <w:rPr>
          <w:sz w:val="22"/>
          <w:szCs w:val="22"/>
          <w:lang w:val="sr-Latn-ME"/>
        </w:rPr>
      </w:pPr>
      <w:r w:rsidRPr="007546E5">
        <w:rPr>
          <w:sz w:val="22"/>
          <w:szCs w:val="22"/>
          <w:lang w:val="sr-Latn-ME"/>
        </w:rPr>
        <w:t>Nakon online podnošenja prijave, vodeći podnosilac prijave će dobiti automatsku potvrdu o prijemu u svom PROSPECT profilu.</w:t>
      </w:r>
    </w:p>
    <w:p w14:paraId="03024769" w14:textId="7E52592E" w:rsidR="004E4316" w:rsidRPr="007546E5" w:rsidRDefault="004E4316" w:rsidP="004E4316">
      <w:pPr>
        <w:pStyle w:val="NormalWeb"/>
        <w:jc w:val="both"/>
        <w:rPr>
          <w:sz w:val="22"/>
          <w:szCs w:val="22"/>
          <w:lang w:val="sr-Latn-ME"/>
        </w:rPr>
      </w:pPr>
      <w:r w:rsidRPr="007546E5">
        <w:rPr>
          <w:sz w:val="22"/>
          <w:szCs w:val="22"/>
          <w:lang w:val="sr-Latn-ME"/>
        </w:rPr>
        <w:t>Ostala prateća dokumentacija, osim izjave o časti u vezi sa kriterijumima isključenja, treba da bude učitana u PADOR</w:t>
      </w:r>
      <w:r w:rsidRPr="007546E5">
        <w:rPr>
          <w:rStyle w:val="FootnoteReference"/>
          <w:sz w:val="22"/>
          <w:szCs w:val="22"/>
          <w:lang w:val="sr-Latn-ME"/>
        </w:rPr>
        <w:footnoteReference w:id="23"/>
      </w:r>
      <w:r w:rsidRPr="007546E5">
        <w:rPr>
          <w:sz w:val="22"/>
          <w:szCs w:val="22"/>
          <w:lang w:val="sr-Latn-ME"/>
        </w:rPr>
        <w:t>.</w:t>
      </w:r>
    </w:p>
    <w:p w14:paraId="097A4783" w14:textId="77777777" w:rsidR="004E4316" w:rsidRPr="007546E5" w:rsidRDefault="004E4316" w:rsidP="004E4316">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2.2.3. Rok za podnošenje prijava</w:t>
      </w:r>
    </w:p>
    <w:p w14:paraId="33162131" w14:textId="441A8072" w:rsidR="004E4316" w:rsidRPr="007546E5" w:rsidRDefault="004E4316" w:rsidP="004E4316">
      <w:pPr>
        <w:pStyle w:val="NormalWeb"/>
        <w:jc w:val="both"/>
        <w:rPr>
          <w:sz w:val="22"/>
          <w:szCs w:val="22"/>
          <w:lang w:val="sr-Latn-ME"/>
        </w:rPr>
      </w:pPr>
      <w:r w:rsidRPr="007546E5">
        <w:rPr>
          <w:sz w:val="22"/>
          <w:szCs w:val="22"/>
          <w:lang w:val="sr-Latn-ME"/>
        </w:rPr>
        <w:t xml:space="preserve">Rok za podnošenje prijava je </w:t>
      </w:r>
      <w:r w:rsidRPr="007546E5">
        <w:rPr>
          <w:b/>
          <w:sz w:val="22"/>
          <w:szCs w:val="22"/>
          <w:lang w:val="sr-Latn-ME"/>
        </w:rPr>
        <w:t>08/05/2026 u 16:00 časova</w:t>
      </w:r>
      <w:r w:rsidRPr="007546E5">
        <w:rPr>
          <w:sz w:val="22"/>
          <w:szCs w:val="22"/>
          <w:lang w:val="sr-Latn-ME"/>
        </w:rPr>
        <w:t xml:space="preserve"> (briselsko vrijeme). Za konverziju ovog roka u lokalno vrijeme može se koristiti bilo koji online alat za konverziju vremena koji uzima u obzir vremenske zone i prelazak na ljetnje/zimsko računanje vremena (primjer dostupan </w:t>
      </w:r>
      <w:hyperlink r:id="rId47" w:history="1">
        <w:r w:rsidRPr="007546E5">
          <w:rPr>
            <w:rStyle w:val="Hyperlink"/>
            <w:sz w:val="22"/>
            <w:szCs w:val="22"/>
            <w:lang w:val="sr-Latn-ME"/>
          </w:rPr>
          <w:t>ovdje</w:t>
        </w:r>
      </w:hyperlink>
      <w:r w:rsidRPr="007546E5">
        <w:rPr>
          <w:sz w:val="22"/>
          <w:szCs w:val="22"/>
          <w:lang w:val="sr-Latn-ME"/>
        </w:rPr>
        <w:t>)</w:t>
      </w:r>
      <w:r w:rsidRPr="007546E5">
        <w:rPr>
          <w:rStyle w:val="FootnoteReference"/>
          <w:sz w:val="22"/>
          <w:szCs w:val="22"/>
          <w:lang w:val="sr-Latn-ME"/>
        </w:rPr>
        <w:footnoteReference w:id="24"/>
      </w:r>
      <w:r w:rsidRPr="007546E5">
        <w:rPr>
          <w:sz w:val="22"/>
          <w:szCs w:val="22"/>
          <w:lang w:val="sr-Latn-ME"/>
        </w:rPr>
        <w:t>.</w:t>
      </w:r>
    </w:p>
    <w:p w14:paraId="730432E6" w14:textId="77777777" w:rsidR="004E4316" w:rsidRPr="007546E5" w:rsidRDefault="004E4316" w:rsidP="004E4316">
      <w:pPr>
        <w:pStyle w:val="NormalWeb"/>
        <w:jc w:val="both"/>
        <w:rPr>
          <w:sz w:val="22"/>
          <w:szCs w:val="22"/>
          <w:lang w:val="sr-Latn-ME"/>
        </w:rPr>
      </w:pPr>
      <w:r w:rsidRPr="007546E5">
        <w:rPr>
          <w:b/>
          <w:sz w:val="22"/>
          <w:szCs w:val="22"/>
          <w:lang w:val="sr-Latn-ME"/>
        </w:rPr>
        <w:t>Vodećim podnosiocima prijava se snažno preporučuje da ne čekaju posljednji dan za podnošenje prijava</w:t>
      </w:r>
      <w:r w:rsidRPr="007546E5">
        <w:rPr>
          <w:sz w:val="22"/>
          <w:szCs w:val="22"/>
          <w:lang w:val="sr-Latn-ME"/>
        </w:rPr>
        <w:t>, jer intenzivan internet saobraćaj ili problemi sa internet konekcijom (uključujući nestanak električne energije i sl.) mogu dovesti do poteškoća pri podnošenju. Ugovorno tijelo ne snosi odgovornost za kašnjenja uzrokovana navedenim poteškoćama.</w:t>
      </w:r>
    </w:p>
    <w:p w14:paraId="032197E8" w14:textId="77777777" w:rsidR="004E4316" w:rsidRPr="007546E5" w:rsidRDefault="004E4316" w:rsidP="004E4316">
      <w:pPr>
        <w:pStyle w:val="NormalWeb"/>
        <w:jc w:val="both"/>
        <w:rPr>
          <w:sz w:val="22"/>
          <w:szCs w:val="22"/>
          <w:lang w:val="sr-Latn-ME"/>
        </w:rPr>
      </w:pPr>
      <w:r w:rsidRPr="007546E5">
        <w:rPr>
          <w:sz w:val="22"/>
          <w:szCs w:val="22"/>
          <w:lang w:val="sr-Latn-ME"/>
        </w:rPr>
        <w:t>Svaka prijava podnesena nakon isteka roka biće odbijena.</w:t>
      </w:r>
    </w:p>
    <w:p w14:paraId="260810C6" w14:textId="77777777" w:rsidR="004E4316" w:rsidRPr="007546E5" w:rsidRDefault="004E4316" w:rsidP="004E4316">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2.2.4. Dodatne informacije o prijavama</w:t>
      </w:r>
    </w:p>
    <w:p w14:paraId="1E7845F6" w14:textId="7AEF8FFF" w:rsidR="004E4316" w:rsidRPr="007546E5" w:rsidRDefault="004E4316" w:rsidP="004E4316">
      <w:pPr>
        <w:pStyle w:val="NormalWeb"/>
        <w:jc w:val="both"/>
        <w:rPr>
          <w:sz w:val="22"/>
          <w:szCs w:val="22"/>
          <w:lang w:val="sr-Latn-ME"/>
        </w:rPr>
      </w:pPr>
      <w:r w:rsidRPr="007546E5">
        <w:rPr>
          <w:sz w:val="22"/>
          <w:szCs w:val="22"/>
          <w:lang w:val="sr-Latn-ME"/>
        </w:rPr>
        <w:t xml:space="preserve">Informativna sesija o ovom pozivu za dostavljanje </w:t>
      </w:r>
      <w:r w:rsidR="002832D2" w:rsidRPr="007546E5">
        <w:rPr>
          <w:sz w:val="22"/>
          <w:szCs w:val="22"/>
          <w:lang w:val="sr-Latn-ME"/>
        </w:rPr>
        <w:t>prijedlog</w:t>
      </w:r>
      <w:r w:rsidRPr="007546E5">
        <w:rPr>
          <w:sz w:val="22"/>
          <w:szCs w:val="22"/>
          <w:lang w:val="sr-Latn-ME"/>
        </w:rPr>
        <w:t xml:space="preserve">a projekata biće održana </w:t>
      </w:r>
      <w:r w:rsidRPr="007546E5">
        <w:rPr>
          <w:b/>
          <w:sz w:val="22"/>
          <w:szCs w:val="22"/>
          <w:lang w:val="sr-Latn-ME"/>
        </w:rPr>
        <w:t>26. februara 2026</w:t>
      </w:r>
      <w:r w:rsidRPr="007546E5">
        <w:rPr>
          <w:sz w:val="22"/>
          <w:szCs w:val="22"/>
          <w:lang w:val="sr-Latn-ME"/>
        </w:rPr>
        <w:t xml:space="preserve">. </w:t>
      </w:r>
      <w:r w:rsidRPr="00D2771A">
        <w:rPr>
          <w:b/>
          <w:sz w:val="22"/>
          <w:szCs w:val="22"/>
          <w:lang w:val="sr-Latn-ME"/>
        </w:rPr>
        <w:t>godine u 14:30 časova</w:t>
      </w:r>
      <w:r w:rsidRPr="007546E5">
        <w:rPr>
          <w:sz w:val="22"/>
          <w:szCs w:val="22"/>
          <w:lang w:val="sr-Latn-ME"/>
        </w:rPr>
        <w:t xml:space="preserve"> u </w:t>
      </w:r>
      <w:r w:rsidR="00D2771A">
        <w:rPr>
          <w:sz w:val="22"/>
          <w:szCs w:val="22"/>
          <w:lang w:val="sr-Latn-ME"/>
        </w:rPr>
        <w:t xml:space="preserve">Evropskoj kući </w:t>
      </w:r>
      <w:r w:rsidR="00D2771A" w:rsidRPr="00F632AA">
        <w:rPr>
          <w:sz w:val="22"/>
          <w:szCs w:val="22"/>
          <w:lang w:val="sr-Latn-ME"/>
        </w:rPr>
        <w:t>(</w:t>
      </w:r>
      <w:r w:rsidRPr="007546E5">
        <w:rPr>
          <w:sz w:val="22"/>
          <w:szCs w:val="22"/>
          <w:lang w:val="sr-Latn-ME"/>
        </w:rPr>
        <w:t>Europe House</w:t>
      </w:r>
      <w:r w:rsidR="00D2771A">
        <w:rPr>
          <w:sz w:val="22"/>
          <w:szCs w:val="22"/>
          <w:lang w:val="sr-Latn-ME"/>
        </w:rPr>
        <w:t>)</w:t>
      </w:r>
      <w:r w:rsidRPr="007546E5">
        <w:rPr>
          <w:sz w:val="22"/>
          <w:szCs w:val="22"/>
          <w:lang w:val="sr-Latn-ME"/>
        </w:rPr>
        <w:t>, trg Argentina 4, Podgorica, Crna Gora.</w:t>
      </w:r>
    </w:p>
    <w:p w14:paraId="0720B388" w14:textId="2A95C62D" w:rsidR="004E4316" w:rsidRPr="007546E5" w:rsidRDefault="004E4316" w:rsidP="004E4316">
      <w:pPr>
        <w:pStyle w:val="NormalWeb"/>
        <w:jc w:val="both"/>
        <w:rPr>
          <w:sz w:val="22"/>
          <w:szCs w:val="22"/>
          <w:lang w:val="sr-Latn-ME"/>
        </w:rPr>
      </w:pPr>
      <w:r w:rsidRPr="007546E5">
        <w:rPr>
          <w:sz w:val="22"/>
          <w:szCs w:val="22"/>
          <w:lang w:val="sr-Latn-ME"/>
        </w:rPr>
        <w:t xml:space="preserve">Pitanja se mogu poslati putem e-maila najkasnije 21 dan prije roka za podnošenje prijava, na dolje navedenu adresu(e), uz jasno navođenje reference poziva za dostavljanje </w:t>
      </w:r>
      <w:r w:rsidR="002832D2" w:rsidRPr="007546E5">
        <w:rPr>
          <w:sz w:val="22"/>
          <w:szCs w:val="22"/>
          <w:lang w:val="sr-Latn-ME"/>
        </w:rPr>
        <w:t>prijedlog</w:t>
      </w:r>
      <w:r w:rsidRPr="007546E5">
        <w:rPr>
          <w:sz w:val="22"/>
          <w:szCs w:val="22"/>
          <w:lang w:val="sr-Latn-ME"/>
        </w:rPr>
        <w:t>a projekata:</w:t>
      </w:r>
    </w:p>
    <w:p w14:paraId="0C940EA0" w14:textId="3D9B7E2F" w:rsidR="004E4316" w:rsidRPr="007546E5" w:rsidRDefault="004E4316" w:rsidP="004E4316">
      <w:pPr>
        <w:pStyle w:val="NormalWeb"/>
        <w:ind w:firstLine="720"/>
        <w:jc w:val="both"/>
        <w:rPr>
          <w:sz w:val="22"/>
          <w:szCs w:val="22"/>
          <w:lang w:val="sr-Latn-ME"/>
        </w:rPr>
      </w:pPr>
      <w:r w:rsidRPr="007546E5">
        <w:rPr>
          <w:sz w:val="22"/>
          <w:szCs w:val="22"/>
          <w:lang w:val="sr-Latn-ME"/>
        </w:rPr>
        <w:t xml:space="preserve">E-mail adresa: </w:t>
      </w:r>
      <w:hyperlink r:id="rId48" w:history="1">
        <w:r w:rsidR="00E15B23" w:rsidRPr="00A97E01">
          <w:rPr>
            <w:rStyle w:val="Hyperlink"/>
            <w:sz w:val="22"/>
            <w:szCs w:val="22"/>
            <w:lang w:val="sr-Latn-ME"/>
          </w:rPr>
          <w:t>delegation-montenegro-procedures@eeas.europa.eu</w:t>
        </w:r>
      </w:hyperlink>
      <w:r w:rsidR="00E15B23">
        <w:rPr>
          <w:sz w:val="22"/>
          <w:szCs w:val="22"/>
          <w:lang w:val="sr-Latn-ME"/>
        </w:rPr>
        <w:t xml:space="preserve"> </w:t>
      </w:r>
    </w:p>
    <w:p w14:paraId="2701B5AA" w14:textId="77777777" w:rsidR="004E4316" w:rsidRPr="007546E5" w:rsidRDefault="004E4316" w:rsidP="004E4316">
      <w:pPr>
        <w:pStyle w:val="NormalWeb"/>
        <w:jc w:val="both"/>
        <w:rPr>
          <w:sz w:val="22"/>
          <w:szCs w:val="22"/>
          <w:lang w:val="sr-Latn-ME"/>
        </w:rPr>
      </w:pPr>
      <w:r w:rsidRPr="007546E5">
        <w:rPr>
          <w:sz w:val="22"/>
          <w:szCs w:val="22"/>
          <w:lang w:val="sr-Latn-ME"/>
        </w:rPr>
        <w:t>Ugovorno tijelo nema obavezu da daje pojašnjenja na pitanja primljena nakon ovog roka.</w:t>
      </w:r>
    </w:p>
    <w:p w14:paraId="07A314AD" w14:textId="77777777" w:rsidR="004E4316" w:rsidRPr="007546E5" w:rsidRDefault="004E4316" w:rsidP="004E4316">
      <w:pPr>
        <w:pStyle w:val="NormalWeb"/>
        <w:jc w:val="both"/>
        <w:rPr>
          <w:sz w:val="22"/>
          <w:szCs w:val="22"/>
          <w:lang w:val="sr-Latn-ME"/>
        </w:rPr>
      </w:pPr>
      <w:r w:rsidRPr="007546E5">
        <w:rPr>
          <w:sz w:val="22"/>
          <w:szCs w:val="22"/>
          <w:lang w:val="sr-Latn-ME"/>
        </w:rPr>
        <w:t>Odgovori će biti dostavljeni najkasnije 11 dana prije roka za podnošenje prijava.</w:t>
      </w:r>
    </w:p>
    <w:p w14:paraId="165CE321" w14:textId="4C2068CC" w:rsidR="004E4316" w:rsidRPr="007546E5" w:rsidRDefault="004E4316" w:rsidP="004E4316">
      <w:pPr>
        <w:pStyle w:val="NormalWeb"/>
        <w:jc w:val="both"/>
        <w:rPr>
          <w:sz w:val="22"/>
          <w:szCs w:val="22"/>
          <w:lang w:val="sr-Latn-ME"/>
        </w:rPr>
      </w:pPr>
      <w:r w:rsidRPr="007546E5">
        <w:rPr>
          <w:sz w:val="22"/>
          <w:szCs w:val="22"/>
          <w:lang w:val="sr-Latn-ME"/>
        </w:rPr>
        <w:lastRenderedPageBreak/>
        <w:t xml:space="preserve">Radi obezbjeđenja jednakog tretmana podnosilaca prijava, ugovorno tijelo ne može dati prethodno mišljenje o prihvatljivosti vodećih podnosilaca prijava, su-podnosilaca prijava, povezanih subjekata, akcije ili </w:t>
      </w:r>
      <w:r w:rsidR="00FB7787">
        <w:rPr>
          <w:sz w:val="22"/>
          <w:szCs w:val="22"/>
          <w:lang w:val="sr-Latn-ME"/>
        </w:rPr>
        <w:t>specifi</w:t>
      </w:r>
      <w:r w:rsidRPr="007546E5">
        <w:rPr>
          <w:sz w:val="22"/>
          <w:szCs w:val="22"/>
          <w:lang w:val="sr-Latn-ME"/>
        </w:rPr>
        <w:t>čnih aktivnosti.</w:t>
      </w:r>
    </w:p>
    <w:p w14:paraId="0DDB7ACB" w14:textId="1A1362C8" w:rsidR="004E4316" w:rsidRPr="007546E5" w:rsidRDefault="004E4316" w:rsidP="004E4316">
      <w:pPr>
        <w:pStyle w:val="NormalWeb"/>
        <w:jc w:val="both"/>
        <w:rPr>
          <w:sz w:val="22"/>
          <w:szCs w:val="22"/>
          <w:lang w:val="sr-Latn-ME"/>
        </w:rPr>
      </w:pPr>
      <w:r w:rsidRPr="007546E5">
        <w:rPr>
          <w:sz w:val="22"/>
          <w:szCs w:val="22"/>
          <w:lang w:val="sr-Latn-ME"/>
        </w:rPr>
        <w:t>Na pitanja se neće odgovarati pojedinačno. Sva pitanja i odgovori, kao i druga važna obavještenja za podnosioce prijava tokom postupka evaluacije, biće objavljeni na internet stranici na kojoj je objavljen</w:t>
      </w:r>
      <w:r w:rsidR="002508D1">
        <w:rPr>
          <w:sz w:val="22"/>
          <w:szCs w:val="22"/>
          <w:lang w:val="sr-Latn-ME"/>
        </w:rPr>
        <w:t xml:space="preserve"> </w:t>
      </w:r>
      <w:r w:rsidR="002508D1" w:rsidRPr="007546E5">
        <w:rPr>
          <w:sz w:val="22"/>
          <w:szCs w:val="22"/>
          <w:lang w:val="sr-Latn-ME"/>
        </w:rPr>
        <w:t>poziv</w:t>
      </w:r>
      <w:r w:rsidRPr="007546E5">
        <w:rPr>
          <w:sz w:val="22"/>
          <w:szCs w:val="22"/>
          <w:lang w:val="sr-Latn-ME"/>
        </w:rPr>
        <w:t xml:space="preserve">: </w:t>
      </w:r>
      <w:r w:rsidR="002508D1">
        <w:rPr>
          <w:sz w:val="22"/>
          <w:szCs w:val="22"/>
          <w:lang w:val="sr-Latn-ME"/>
        </w:rPr>
        <w:t xml:space="preserve">na </w:t>
      </w:r>
      <w:r w:rsidRPr="007546E5">
        <w:rPr>
          <w:sz w:val="22"/>
          <w:szCs w:val="22"/>
          <w:lang w:val="sr-Latn-ME"/>
        </w:rPr>
        <w:t>internet stranic</w:t>
      </w:r>
      <w:r w:rsidR="002508D1">
        <w:rPr>
          <w:sz w:val="22"/>
          <w:szCs w:val="22"/>
          <w:lang w:val="sr-Latn-ME"/>
        </w:rPr>
        <w:t>i</w:t>
      </w:r>
      <w:r w:rsidRPr="007546E5">
        <w:rPr>
          <w:sz w:val="22"/>
          <w:szCs w:val="22"/>
          <w:lang w:val="sr-Latn-ME"/>
        </w:rPr>
        <w:t xml:space="preserve"> DG International Partnerships </w:t>
      </w:r>
      <w:hyperlink r:id="rId49" w:history="1">
        <w:r w:rsidRPr="007546E5">
          <w:rPr>
            <w:rStyle w:val="Hyperlink"/>
            <w:sz w:val="22"/>
            <w:szCs w:val="22"/>
            <w:lang w:val="sr-Latn-ME"/>
          </w:rPr>
          <w:t>https://ec.europa.eu/international-partnerships/home_fr</w:t>
        </w:r>
      </w:hyperlink>
      <w:r w:rsidRPr="007546E5">
        <w:rPr>
          <w:sz w:val="22"/>
          <w:szCs w:val="22"/>
          <w:lang w:val="sr-Latn-ME"/>
        </w:rPr>
        <w:t xml:space="preserve"> i/ili </w:t>
      </w:r>
      <w:r w:rsidR="002508D1">
        <w:rPr>
          <w:sz w:val="22"/>
          <w:szCs w:val="22"/>
          <w:lang w:val="sr-Latn-ME"/>
        </w:rPr>
        <w:t xml:space="preserve">na internet stranici </w:t>
      </w:r>
      <w:r w:rsidRPr="007546E5">
        <w:rPr>
          <w:sz w:val="22"/>
          <w:szCs w:val="22"/>
          <w:lang w:val="sr-Latn-ME"/>
        </w:rPr>
        <w:t xml:space="preserve">Funding &amp; Tender Opportunities (F&amp;T Portal) </w:t>
      </w:r>
      <w:hyperlink r:id="rId50" w:history="1">
        <w:r w:rsidRPr="007546E5">
          <w:rPr>
            <w:rStyle w:val="Hyperlink"/>
            <w:sz w:val="22"/>
            <w:szCs w:val="22"/>
            <w:lang w:val="sr-Latn-ME"/>
          </w:rPr>
          <w:t>https://ec.europa.eu/info/funding-tenders/opportunities/portal/screen/home</w:t>
        </w:r>
      </w:hyperlink>
      <w:r w:rsidRPr="007546E5">
        <w:rPr>
          <w:sz w:val="22"/>
          <w:szCs w:val="22"/>
          <w:lang w:val="sr-Latn-ME"/>
        </w:rPr>
        <w:t>. Stoga se preporučuje redovno praćenje navedenih internet stranica kako biste bili informisani o objavljenim pitanjima i odgovorima.</w:t>
      </w:r>
    </w:p>
    <w:p w14:paraId="380285FA" w14:textId="04DDA046" w:rsidR="004E4316" w:rsidRPr="007546E5" w:rsidRDefault="004E4316" w:rsidP="004E4316">
      <w:pPr>
        <w:pStyle w:val="NormalWeb"/>
        <w:jc w:val="both"/>
        <w:rPr>
          <w:sz w:val="22"/>
          <w:szCs w:val="22"/>
          <w:lang w:val="sr-Latn-ME"/>
        </w:rPr>
      </w:pPr>
      <w:r w:rsidRPr="007546E5">
        <w:rPr>
          <w:sz w:val="22"/>
          <w:szCs w:val="22"/>
          <w:lang w:val="sr-Latn-ME"/>
        </w:rPr>
        <w:t xml:space="preserve">Sva pitanja u vezi sa registracijom u PADOR-u ili online podnošenjem putem PROSPECT-a treba uputiti IT podršci na adresu </w:t>
      </w:r>
      <w:hyperlink r:id="rId51" w:history="1">
        <w:r w:rsidRPr="007546E5">
          <w:rPr>
            <w:rStyle w:val="Hyperlink"/>
            <w:sz w:val="22"/>
            <w:szCs w:val="22"/>
            <w:lang w:val="sr-Latn-ME"/>
          </w:rPr>
          <w:t>ec-external-relations-application-support@ec.europa.eu</w:t>
        </w:r>
      </w:hyperlink>
      <w:r w:rsidRPr="007546E5">
        <w:rPr>
          <w:sz w:val="22"/>
          <w:szCs w:val="22"/>
          <w:lang w:val="sr-Latn-ME"/>
        </w:rPr>
        <w:t xml:space="preserve"> </w:t>
      </w:r>
      <w:r w:rsidRPr="007546E5">
        <w:rPr>
          <w:b/>
          <w:sz w:val="22"/>
          <w:szCs w:val="22"/>
          <w:lang w:val="sr-Latn-ME"/>
        </w:rPr>
        <w:t>putem online formulara za podršku u okviru sistema PROSPECT</w:t>
      </w:r>
      <w:r w:rsidR="002E21AA" w:rsidRPr="007546E5">
        <w:rPr>
          <w:sz w:val="22"/>
          <w:szCs w:val="22"/>
          <w:lang w:val="sr-Latn-ME"/>
        </w:rPr>
        <w:t>:</w:t>
      </w:r>
      <w:r w:rsidRPr="007546E5">
        <w:rPr>
          <w:sz w:val="22"/>
          <w:szCs w:val="22"/>
          <w:lang w:val="sr-Latn-ME"/>
        </w:rPr>
        <w:t xml:space="preserve"> Napominje se da su radni jezici IT podrške engleski, francuski i španski. Stoga se korisnicima preporučuje da svoja pitanja postavljaju na jednom od </w:t>
      </w:r>
      <w:r w:rsidR="005745EB">
        <w:rPr>
          <w:sz w:val="22"/>
          <w:szCs w:val="22"/>
          <w:lang w:val="sr-Latn-ME"/>
        </w:rPr>
        <w:t>navedenih</w:t>
      </w:r>
      <w:r w:rsidRPr="007546E5">
        <w:rPr>
          <w:sz w:val="22"/>
          <w:szCs w:val="22"/>
          <w:lang w:val="sr-Latn-ME"/>
        </w:rPr>
        <w:t xml:space="preserve"> jezika kako bi dobili odgovor u najkraćem roku.</w:t>
      </w:r>
    </w:p>
    <w:p w14:paraId="060E1B58" w14:textId="11DFC6C8" w:rsidR="004E4316" w:rsidRPr="007546E5" w:rsidRDefault="004E4316" w:rsidP="00FB7DA0">
      <w:pPr>
        <w:pStyle w:val="NormalWeb"/>
        <w:jc w:val="both"/>
        <w:rPr>
          <w:sz w:val="22"/>
          <w:szCs w:val="22"/>
          <w:lang w:val="sr-Latn-ME"/>
        </w:rPr>
      </w:pPr>
      <w:r w:rsidRPr="007546E5">
        <w:rPr>
          <w:sz w:val="22"/>
          <w:szCs w:val="22"/>
          <w:lang w:val="sr-Latn-ME"/>
        </w:rPr>
        <w:t xml:space="preserve">Napominje se da ugovorno tijelo može odlučiti da obustavi postupak poziva za dostavljanje </w:t>
      </w:r>
      <w:r w:rsidR="002832D2" w:rsidRPr="007546E5">
        <w:rPr>
          <w:sz w:val="22"/>
          <w:szCs w:val="22"/>
          <w:lang w:val="sr-Latn-ME"/>
        </w:rPr>
        <w:t>prijedlog</w:t>
      </w:r>
      <w:r w:rsidRPr="007546E5">
        <w:rPr>
          <w:sz w:val="22"/>
          <w:szCs w:val="22"/>
          <w:lang w:val="sr-Latn-ME"/>
        </w:rPr>
        <w:t>a projekata u bilo kojoj fazi, u skladu sa uslovima navedenim u odjeljku 6.5.9 Praktičnog vodiča.</w:t>
      </w:r>
    </w:p>
    <w:p w14:paraId="663BC1E1" w14:textId="77777777" w:rsidR="004E4316" w:rsidRPr="007546E5" w:rsidRDefault="004E4316" w:rsidP="004E4316">
      <w:pPr>
        <w:pStyle w:val="Heading3"/>
        <w:jc w:val="both"/>
        <w:rPr>
          <w:rFonts w:ascii="Times New Roman" w:hAnsi="Times New Roman" w:cs="Times New Roman"/>
          <w:color w:val="auto"/>
        </w:rPr>
      </w:pPr>
      <w:r w:rsidRPr="007546E5">
        <w:rPr>
          <w:rStyle w:val="Strong"/>
          <w:rFonts w:ascii="Times New Roman" w:hAnsi="Times New Roman" w:cs="Times New Roman"/>
          <w:bCs w:val="0"/>
          <w:color w:val="auto"/>
        </w:rPr>
        <w:t>2.3. EVALUACIJA</w:t>
      </w:r>
    </w:p>
    <w:p w14:paraId="1D89B672" w14:textId="77777777" w:rsidR="004E4316" w:rsidRPr="007546E5" w:rsidRDefault="004E4316" w:rsidP="00FB7DA0">
      <w:pPr>
        <w:pStyle w:val="NormalWeb"/>
        <w:jc w:val="both"/>
        <w:rPr>
          <w:sz w:val="22"/>
          <w:szCs w:val="22"/>
          <w:lang w:val="sr-Latn-ME"/>
        </w:rPr>
      </w:pPr>
      <w:r w:rsidRPr="007546E5">
        <w:rPr>
          <w:sz w:val="22"/>
          <w:szCs w:val="22"/>
          <w:lang w:val="sr-Latn-ME"/>
        </w:rPr>
        <w:t>Prijave će biti razmotrene i ocijenjene od strane ugovornog tijela, uz moguću podršku eksternih procjenjivača. Sve prijave će biti ocijenjene u skladu sa sljedećim koracima i kriterijumima.</w:t>
      </w:r>
    </w:p>
    <w:p w14:paraId="472907DC" w14:textId="77777777" w:rsidR="004E4316" w:rsidRPr="007546E5" w:rsidRDefault="004E4316" w:rsidP="00FB7DA0">
      <w:pPr>
        <w:pStyle w:val="NormalWeb"/>
        <w:jc w:val="both"/>
        <w:rPr>
          <w:sz w:val="22"/>
          <w:szCs w:val="22"/>
          <w:lang w:val="sr-Latn-ME"/>
        </w:rPr>
      </w:pPr>
      <w:r w:rsidRPr="007546E5">
        <w:rPr>
          <w:sz w:val="22"/>
          <w:szCs w:val="22"/>
          <w:lang w:val="sr-Latn-ME"/>
        </w:rPr>
        <w:t>Ukoliko se tokom razmatranja prijave utvrdi da predložena akcija ne ispunjava kriterijume prihvatljivosti navedene u odjeljku 2.1, prijava će biti odbijena isključivo po tom osnovu.</w:t>
      </w:r>
    </w:p>
    <w:p w14:paraId="358D8D33" w14:textId="77777777" w:rsidR="00FB7DA0" w:rsidRPr="007546E5" w:rsidRDefault="00FB7DA0" w:rsidP="00FB7DA0">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2.3.1. KORAK 1: ADMINISTRATIVNE PROVJERE I OCJENJIVANJE SAŽETOG OPISA PROJEKTA</w:t>
      </w:r>
    </w:p>
    <w:p w14:paraId="126EABFB" w14:textId="77777777" w:rsidR="00FB7DA0" w:rsidRPr="007546E5" w:rsidRDefault="00FB7DA0" w:rsidP="00FB7DA0">
      <w:pPr>
        <w:pStyle w:val="NormalWeb"/>
        <w:jc w:val="both"/>
        <w:rPr>
          <w:sz w:val="22"/>
          <w:szCs w:val="22"/>
          <w:lang w:val="sr-Latn-ME"/>
        </w:rPr>
      </w:pPr>
      <w:r w:rsidRPr="007546E5">
        <w:rPr>
          <w:sz w:val="22"/>
          <w:szCs w:val="22"/>
          <w:lang w:val="sr-Latn-ME"/>
        </w:rPr>
        <w:t>Tokom administrativne provjere ocjenjivaće se sljedeće:</w:t>
      </w:r>
    </w:p>
    <w:p w14:paraId="3AC8767A" w14:textId="77777777" w:rsidR="00FB7DA0" w:rsidRPr="007546E5" w:rsidRDefault="00FB7DA0" w:rsidP="00FB7DA0">
      <w:pPr>
        <w:numPr>
          <w:ilvl w:val="0"/>
          <w:numId w:val="22"/>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da li je rok za podnošenje prijave ispoštovan. U suprotnom, prijava će biti automatski odbijena; </w:t>
      </w:r>
    </w:p>
    <w:p w14:paraId="37760C4C" w14:textId="77777777" w:rsidR="00FB7DA0" w:rsidRPr="007546E5" w:rsidRDefault="00FB7DA0" w:rsidP="00FB7DA0">
      <w:pPr>
        <w:numPr>
          <w:ilvl w:val="0"/>
          <w:numId w:val="22"/>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da li prijava ispunjava sve kriterijume navedene u kontrolnoj listi iz Aneksa A.2, Uputstva. Ovo uključuje i procjenu prihvatljivosti akcije. Ukoliko bilo koja tražena informacija nedostaje ili je netačna, prijava može biti odbijena </w:t>
      </w:r>
      <w:r w:rsidRPr="00416905">
        <w:rPr>
          <w:rFonts w:ascii="Times New Roman" w:hAnsi="Times New Roman" w:cs="Times New Roman"/>
          <w:b/>
          <w:u w:val="single"/>
        </w:rPr>
        <w:t>samo</w:t>
      </w:r>
      <w:r w:rsidRPr="007546E5">
        <w:rPr>
          <w:rFonts w:ascii="Times New Roman" w:hAnsi="Times New Roman" w:cs="Times New Roman"/>
        </w:rPr>
        <w:t xml:space="preserve"> po tom osnovu i neće se dalje razmatrati. </w:t>
      </w:r>
    </w:p>
    <w:p w14:paraId="46C2A19E" w14:textId="77777777" w:rsidR="00FB7DA0" w:rsidRPr="007546E5" w:rsidRDefault="00FB7DA0" w:rsidP="00FB7DA0">
      <w:pPr>
        <w:pStyle w:val="NormalWeb"/>
        <w:jc w:val="both"/>
        <w:rPr>
          <w:sz w:val="22"/>
          <w:szCs w:val="22"/>
          <w:lang w:val="sr-Latn-ME"/>
        </w:rPr>
      </w:pPr>
      <w:r w:rsidRPr="007546E5">
        <w:rPr>
          <w:sz w:val="22"/>
          <w:szCs w:val="22"/>
          <w:lang w:val="sr-Latn-ME"/>
        </w:rPr>
        <w:t>Sažeti opisi projekata koji prođu ovu provjeru biće ocijenjeni u pogledu relevantnosti i kvaliteta dizajna predložene akcije.</w:t>
      </w:r>
    </w:p>
    <w:p w14:paraId="33BEF45B" w14:textId="77777777" w:rsidR="00FB7DA0" w:rsidRPr="007546E5" w:rsidRDefault="00FB7DA0" w:rsidP="00FB7DA0">
      <w:pPr>
        <w:pStyle w:val="NormalWeb"/>
        <w:jc w:val="both"/>
        <w:rPr>
          <w:sz w:val="22"/>
          <w:szCs w:val="22"/>
          <w:lang w:val="sr-Latn-ME"/>
        </w:rPr>
      </w:pPr>
      <w:r w:rsidRPr="007546E5">
        <w:rPr>
          <w:sz w:val="22"/>
          <w:szCs w:val="22"/>
          <w:lang w:val="sr-Latn-ME"/>
        </w:rPr>
        <w:t>Sažeti opisi projekata biće ocijenjeni ukupnim brojem bodova do maksimalno 50, u skladu sa raspodjelom iz evaluacione matrice u nastavku. Tokom evaluacije provjeravaće se i usklađenost sa uputstvima za popunjavanje sažetog opisa projekta, koja se nalaze u Aneksu A.1.</w:t>
      </w:r>
    </w:p>
    <w:p w14:paraId="3FB10540" w14:textId="51FDFF03" w:rsidR="00FB7DA0" w:rsidRPr="007546E5" w:rsidRDefault="00FB7DA0" w:rsidP="00FB7DA0">
      <w:pPr>
        <w:pStyle w:val="NormalWeb"/>
        <w:jc w:val="both"/>
        <w:rPr>
          <w:sz w:val="22"/>
          <w:szCs w:val="22"/>
          <w:lang w:val="sr-Latn-ME"/>
        </w:rPr>
      </w:pPr>
      <w:r w:rsidRPr="007546E5">
        <w:rPr>
          <w:sz w:val="22"/>
          <w:szCs w:val="22"/>
          <w:u w:val="single"/>
          <w:lang w:val="sr-Latn-ME"/>
        </w:rPr>
        <w:t>Kriterijumi evaluacije</w:t>
      </w:r>
      <w:r w:rsidRPr="007546E5">
        <w:rPr>
          <w:sz w:val="22"/>
          <w:szCs w:val="22"/>
          <w:lang w:val="sr-Latn-ME"/>
        </w:rPr>
        <w:t xml:space="preserve"> podijeljeni su na glavne kategorije i potkategorije. Svaka potkategorija ocjenjuje se ocjenom od 1 do 5, na sljedeći način:</w:t>
      </w:r>
      <w:r w:rsidRPr="007546E5">
        <w:rPr>
          <w:sz w:val="22"/>
          <w:szCs w:val="22"/>
          <w:lang w:val="sr-Latn-ME"/>
        </w:rPr>
        <w:tab/>
        <w:t>1 = vrlo loše; 2 = loše; 3 = zadovoljavajuće; 4 = dobro; 5 = veoma dobro.</w:t>
      </w:r>
    </w:p>
    <w:p w14:paraId="182CED89" w14:textId="5684C74E" w:rsidR="00FB7DA0" w:rsidRPr="007546E5" w:rsidRDefault="00FB7DA0" w:rsidP="00FB7DA0">
      <w:pPr>
        <w:pStyle w:val="NormalWeb"/>
        <w:jc w:val="both"/>
        <w:rPr>
          <w:b/>
          <w:sz w:val="22"/>
          <w:szCs w:val="22"/>
          <w:lang w:val="sr-Latn-ME"/>
        </w:rPr>
      </w:pPr>
      <w:r w:rsidRPr="007546E5">
        <w:rPr>
          <w:b/>
          <w:sz w:val="22"/>
          <w:szCs w:val="22"/>
          <w:lang w:val="sr-Latn-ME"/>
        </w:rPr>
        <w:t>Evaluciona matrica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557"/>
      </w:tblGrid>
      <w:tr w:rsidR="00FB7DA0" w:rsidRPr="007546E5" w14:paraId="5E057B14" w14:textId="77777777" w:rsidTr="00FB7DA0">
        <w:tc>
          <w:tcPr>
            <w:tcW w:w="7083" w:type="dxa"/>
          </w:tcPr>
          <w:p w14:paraId="527F2992" w14:textId="77777777" w:rsidR="00FB7DA0" w:rsidRPr="007546E5" w:rsidRDefault="00FB7DA0" w:rsidP="00EF2510">
            <w:pPr>
              <w:rPr>
                <w:rFonts w:ascii="Times New Roman" w:hAnsi="Times New Roman" w:cs="Times New Roman"/>
                <w:b/>
              </w:rPr>
            </w:pPr>
            <w:r w:rsidRPr="007546E5">
              <w:rPr>
                <w:rFonts w:ascii="Times New Roman" w:hAnsi="Times New Roman" w:cs="Times New Roman"/>
                <w:b/>
              </w:rPr>
              <w:lastRenderedPageBreak/>
              <w:t>Sekcija</w:t>
            </w:r>
          </w:p>
        </w:tc>
        <w:tc>
          <w:tcPr>
            <w:tcW w:w="1557" w:type="dxa"/>
          </w:tcPr>
          <w:p w14:paraId="736AA9EA" w14:textId="77777777" w:rsidR="00FB7DA0" w:rsidRPr="007546E5" w:rsidRDefault="00FB7DA0" w:rsidP="00EF2510">
            <w:pPr>
              <w:rPr>
                <w:rFonts w:ascii="Times New Roman" w:hAnsi="Times New Roman" w:cs="Times New Roman"/>
                <w:b/>
              </w:rPr>
            </w:pPr>
            <w:r w:rsidRPr="007546E5">
              <w:rPr>
                <w:rFonts w:ascii="Times New Roman" w:hAnsi="Times New Roman" w:cs="Times New Roman"/>
                <w:b/>
              </w:rPr>
              <w:t>Maksimalni broj bodova</w:t>
            </w:r>
          </w:p>
        </w:tc>
      </w:tr>
      <w:tr w:rsidR="00FB7DA0" w:rsidRPr="007546E5" w14:paraId="3D8517D6" w14:textId="77777777" w:rsidTr="00FB7DA0">
        <w:tc>
          <w:tcPr>
            <w:tcW w:w="7083" w:type="dxa"/>
            <w:shd w:val="clear" w:color="auto" w:fill="D9D9D9" w:themeFill="background1" w:themeFillShade="D9"/>
          </w:tcPr>
          <w:p w14:paraId="134F9EE3" w14:textId="77777777" w:rsidR="00FB7DA0" w:rsidRPr="007546E5" w:rsidRDefault="00FB7DA0" w:rsidP="00EF2510">
            <w:pPr>
              <w:rPr>
                <w:rFonts w:ascii="Times New Roman" w:hAnsi="Times New Roman" w:cs="Times New Roman"/>
                <w:b/>
              </w:rPr>
            </w:pPr>
            <w:r w:rsidRPr="007546E5">
              <w:rPr>
                <w:rFonts w:ascii="Times New Roman" w:hAnsi="Times New Roman" w:cs="Times New Roman"/>
                <w:b/>
              </w:rPr>
              <w:t>1. Relevantnost akcije</w:t>
            </w:r>
          </w:p>
        </w:tc>
        <w:tc>
          <w:tcPr>
            <w:tcW w:w="1557" w:type="dxa"/>
            <w:shd w:val="clear" w:color="auto" w:fill="D9D9D9" w:themeFill="background1" w:themeFillShade="D9"/>
          </w:tcPr>
          <w:p w14:paraId="708F1E2A" w14:textId="77777777" w:rsidR="00FB7DA0" w:rsidRPr="007546E5" w:rsidRDefault="00FB7DA0" w:rsidP="00FB7DA0">
            <w:pPr>
              <w:jc w:val="center"/>
              <w:rPr>
                <w:rFonts w:ascii="Times New Roman" w:hAnsi="Times New Roman" w:cs="Times New Roman"/>
                <w:b/>
              </w:rPr>
            </w:pPr>
            <w:r w:rsidRPr="007546E5">
              <w:rPr>
                <w:rFonts w:ascii="Times New Roman" w:hAnsi="Times New Roman" w:cs="Times New Roman"/>
                <w:b/>
              </w:rPr>
              <w:t>20</w:t>
            </w:r>
          </w:p>
        </w:tc>
      </w:tr>
      <w:tr w:rsidR="00FB7DA0" w:rsidRPr="007546E5" w14:paraId="6B00A772" w14:textId="77777777" w:rsidTr="00FB7DA0">
        <w:tc>
          <w:tcPr>
            <w:tcW w:w="7083" w:type="dxa"/>
          </w:tcPr>
          <w:p w14:paraId="35F039D8" w14:textId="67771359" w:rsidR="00FB7DA0" w:rsidRPr="007546E5" w:rsidRDefault="00FB7DA0" w:rsidP="00FB7DA0">
            <w:pPr>
              <w:jc w:val="both"/>
              <w:rPr>
                <w:rFonts w:ascii="Times New Roman" w:hAnsi="Times New Roman" w:cs="Times New Roman"/>
              </w:rPr>
            </w:pPr>
            <w:r w:rsidRPr="007546E5">
              <w:rPr>
                <w:rFonts w:ascii="Times New Roman" w:hAnsi="Times New Roman" w:cs="Times New Roman"/>
              </w:rPr>
              <w:t xml:space="preserve">1.1. Usklađenost sa ciljevima poziva: Koliko je </w:t>
            </w:r>
            <w:r w:rsidR="002832D2" w:rsidRPr="007546E5">
              <w:rPr>
                <w:rFonts w:ascii="Times New Roman" w:hAnsi="Times New Roman" w:cs="Times New Roman"/>
              </w:rPr>
              <w:t>prijedlog</w:t>
            </w:r>
            <w:r w:rsidRPr="007546E5">
              <w:rPr>
                <w:rFonts w:ascii="Times New Roman" w:hAnsi="Times New Roman" w:cs="Times New Roman"/>
              </w:rPr>
              <w:t xml:space="preserve"> relevantan u odnosu na ciljeve i prioritete poziva za dostavljanje </w:t>
            </w:r>
            <w:r w:rsidR="002832D2" w:rsidRPr="007546E5">
              <w:rPr>
                <w:rFonts w:ascii="Times New Roman" w:hAnsi="Times New Roman" w:cs="Times New Roman"/>
              </w:rPr>
              <w:t>prijedlog</w:t>
            </w:r>
            <w:r w:rsidRPr="007546E5">
              <w:rPr>
                <w:rFonts w:ascii="Times New Roman" w:hAnsi="Times New Roman" w:cs="Times New Roman"/>
              </w:rPr>
              <w:t xml:space="preserve">a projekata, kao i na specifične teme/sektore/oblasti ili bilo koji drugi specifični zahtjev naveden u </w:t>
            </w:r>
            <w:r w:rsidR="00511FDD">
              <w:rPr>
                <w:rFonts w:ascii="Times New Roman" w:hAnsi="Times New Roman" w:cs="Times New Roman"/>
              </w:rPr>
              <w:t>s</w:t>
            </w:r>
            <w:r w:rsidRPr="007546E5">
              <w:rPr>
                <w:rFonts w:ascii="Times New Roman" w:hAnsi="Times New Roman" w:cs="Times New Roman"/>
              </w:rPr>
              <w:t xml:space="preserve">mjernicama za podnosioce prijava? Da li su očekivani rezultati akcije usklađeni sa prioritetima definisanim u </w:t>
            </w:r>
            <w:r w:rsidR="00511FDD">
              <w:rPr>
                <w:rFonts w:ascii="Times New Roman" w:hAnsi="Times New Roman" w:cs="Times New Roman"/>
              </w:rPr>
              <w:t>s</w:t>
            </w:r>
            <w:r w:rsidRPr="007546E5">
              <w:rPr>
                <w:rFonts w:ascii="Times New Roman" w:hAnsi="Times New Roman" w:cs="Times New Roman"/>
              </w:rPr>
              <w:t>mjernicama za podnosioce prijava (odjeljak 1.2)?</w:t>
            </w:r>
          </w:p>
        </w:tc>
        <w:tc>
          <w:tcPr>
            <w:tcW w:w="1557" w:type="dxa"/>
          </w:tcPr>
          <w:p w14:paraId="5BE7E9C9" w14:textId="77777777"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w:t>
            </w:r>
          </w:p>
        </w:tc>
      </w:tr>
      <w:tr w:rsidR="00FB7DA0" w:rsidRPr="007546E5" w14:paraId="7B060A97" w14:textId="77777777" w:rsidTr="00FB7DA0">
        <w:tc>
          <w:tcPr>
            <w:tcW w:w="7083" w:type="dxa"/>
          </w:tcPr>
          <w:p w14:paraId="1324C20B" w14:textId="355D8C21" w:rsidR="00FB7DA0" w:rsidRPr="007546E5" w:rsidRDefault="00FB7DA0" w:rsidP="00FB7DA0">
            <w:pPr>
              <w:jc w:val="both"/>
              <w:rPr>
                <w:rFonts w:ascii="Times New Roman" w:hAnsi="Times New Roman" w:cs="Times New Roman"/>
              </w:rPr>
            </w:pPr>
            <w:r w:rsidRPr="007546E5">
              <w:rPr>
                <w:rFonts w:ascii="Times New Roman" w:hAnsi="Times New Roman" w:cs="Times New Roman"/>
              </w:rPr>
              <w:t xml:space="preserve">1.2. Relevantnost za potrebe zemlje/regiona/sektora: Koliko je </w:t>
            </w:r>
            <w:r w:rsidR="002832D2" w:rsidRPr="007546E5">
              <w:rPr>
                <w:rFonts w:ascii="Times New Roman" w:hAnsi="Times New Roman" w:cs="Times New Roman"/>
              </w:rPr>
              <w:t>prijedlog</w:t>
            </w:r>
            <w:r w:rsidRPr="007546E5">
              <w:rPr>
                <w:rFonts w:ascii="Times New Roman" w:hAnsi="Times New Roman" w:cs="Times New Roman"/>
              </w:rPr>
              <w:t xml:space="preserve"> relevantan u odnosu na specifične potrebe i ograničenja ciljne zemlje(a), regiona(a) i/ili relevantnih sektora (uključujući sinergiju sa drugim razvojnim inicijativama i izbjegavanje dupliranja aktivnosti)?</w:t>
            </w:r>
          </w:p>
        </w:tc>
        <w:tc>
          <w:tcPr>
            <w:tcW w:w="1557" w:type="dxa"/>
          </w:tcPr>
          <w:p w14:paraId="0434DCC4" w14:textId="77777777"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w:t>
            </w:r>
          </w:p>
        </w:tc>
      </w:tr>
      <w:tr w:rsidR="00FB7DA0" w:rsidRPr="007546E5" w14:paraId="0A15D51D" w14:textId="77777777" w:rsidTr="00FB7DA0">
        <w:tc>
          <w:tcPr>
            <w:tcW w:w="7083" w:type="dxa"/>
          </w:tcPr>
          <w:p w14:paraId="31D13652" w14:textId="7B783104" w:rsidR="00FB7DA0" w:rsidRPr="007546E5" w:rsidRDefault="00FB7DA0" w:rsidP="00FB7DA0">
            <w:pPr>
              <w:jc w:val="both"/>
              <w:rPr>
                <w:rFonts w:ascii="Times New Roman" w:hAnsi="Times New Roman" w:cs="Times New Roman"/>
              </w:rPr>
            </w:pPr>
            <w:r w:rsidRPr="007546E5">
              <w:rPr>
                <w:rFonts w:ascii="Times New Roman" w:hAnsi="Times New Roman" w:cs="Times New Roman"/>
              </w:rPr>
              <w:t xml:space="preserve">1.3. Ciljne grupe i krajnji korisnici: Koliko su jasno definisane i strateški odabrane ciljne grupe i krajnji korisnici? Da li su njihove potrebe (kao nosilaca prava i/ili nosilaca obaveza) i ograničenja jasno definisani? Da li se </w:t>
            </w:r>
            <w:r w:rsidR="002832D2" w:rsidRPr="007546E5">
              <w:rPr>
                <w:rFonts w:ascii="Times New Roman" w:hAnsi="Times New Roman" w:cs="Times New Roman"/>
              </w:rPr>
              <w:t>prijedlog</w:t>
            </w:r>
            <w:r w:rsidRPr="007546E5">
              <w:rPr>
                <w:rFonts w:ascii="Times New Roman" w:hAnsi="Times New Roman" w:cs="Times New Roman"/>
              </w:rPr>
              <w:t xml:space="preserve"> adekvatno bavi tim potrebama i ograničenjima?</w:t>
            </w:r>
          </w:p>
        </w:tc>
        <w:tc>
          <w:tcPr>
            <w:tcW w:w="1557" w:type="dxa"/>
          </w:tcPr>
          <w:p w14:paraId="421DBE2E" w14:textId="77777777"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w:t>
            </w:r>
          </w:p>
        </w:tc>
      </w:tr>
      <w:tr w:rsidR="00FB7DA0" w:rsidRPr="007546E5" w14:paraId="7F40772A" w14:textId="77777777" w:rsidTr="00FB7DA0">
        <w:tc>
          <w:tcPr>
            <w:tcW w:w="7083" w:type="dxa"/>
          </w:tcPr>
          <w:p w14:paraId="029D6A51" w14:textId="2A3E7905" w:rsidR="00FB7DA0" w:rsidRPr="007546E5" w:rsidRDefault="00FB7DA0" w:rsidP="00FB7DA0">
            <w:pPr>
              <w:jc w:val="both"/>
              <w:rPr>
                <w:rFonts w:ascii="Times New Roman" w:hAnsi="Times New Roman" w:cs="Times New Roman"/>
              </w:rPr>
            </w:pPr>
            <w:r w:rsidRPr="007546E5">
              <w:rPr>
                <w:rFonts w:ascii="Times New Roman" w:hAnsi="Times New Roman" w:cs="Times New Roman"/>
              </w:rPr>
              <w:t xml:space="preserve">1.4. Elementi dodatne vrijednosti: Da li </w:t>
            </w:r>
            <w:r w:rsidR="002832D2" w:rsidRPr="007546E5">
              <w:rPr>
                <w:rFonts w:ascii="Times New Roman" w:hAnsi="Times New Roman" w:cs="Times New Roman"/>
              </w:rPr>
              <w:t>prijedlog</w:t>
            </w:r>
            <w:r w:rsidRPr="007546E5">
              <w:rPr>
                <w:rFonts w:ascii="Times New Roman" w:hAnsi="Times New Roman" w:cs="Times New Roman"/>
              </w:rPr>
              <w:t xml:space="preserve"> sadrži specifične elemente dodatne vrijednosti (npr. inovacije, najbolje prakse)? [kao i druge dodatne elemente navedene u odjeljku 1.2 </w:t>
            </w:r>
            <w:r w:rsidR="00511FDD">
              <w:rPr>
                <w:rFonts w:ascii="Times New Roman" w:hAnsi="Times New Roman" w:cs="Times New Roman"/>
              </w:rPr>
              <w:t>s</w:t>
            </w:r>
            <w:r w:rsidRPr="007546E5">
              <w:rPr>
                <w:rFonts w:ascii="Times New Roman" w:hAnsi="Times New Roman" w:cs="Times New Roman"/>
              </w:rPr>
              <w:t>mjernica za podnosioce prijava]</w:t>
            </w:r>
          </w:p>
        </w:tc>
        <w:tc>
          <w:tcPr>
            <w:tcW w:w="1557" w:type="dxa"/>
          </w:tcPr>
          <w:p w14:paraId="6C04626A" w14:textId="77777777"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w:t>
            </w:r>
          </w:p>
        </w:tc>
      </w:tr>
      <w:tr w:rsidR="00FB7DA0" w:rsidRPr="007546E5" w14:paraId="50448874" w14:textId="77777777" w:rsidTr="00FB7DA0">
        <w:tc>
          <w:tcPr>
            <w:tcW w:w="7083" w:type="dxa"/>
            <w:shd w:val="clear" w:color="auto" w:fill="D9D9D9" w:themeFill="background1" w:themeFillShade="D9"/>
          </w:tcPr>
          <w:p w14:paraId="6728845C" w14:textId="77777777" w:rsidR="00FB7DA0" w:rsidRPr="007546E5" w:rsidRDefault="00FB7DA0" w:rsidP="00FB7DA0">
            <w:pPr>
              <w:jc w:val="both"/>
              <w:rPr>
                <w:rFonts w:ascii="Times New Roman" w:hAnsi="Times New Roman" w:cs="Times New Roman"/>
                <w:b/>
              </w:rPr>
            </w:pPr>
            <w:r w:rsidRPr="007546E5">
              <w:rPr>
                <w:rFonts w:ascii="Times New Roman" w:hAnsi="Times New Roman" w:cs="Times New Roman"/>
                <w:b/>
              </w:rPr>
              <w:t>2. Dizajn akcije</w:t>
            </w:r>
          </w:p>
        </w:tc>
        <w:tc>
          <w:tcPr>
            <w:tcW w:w="1557" w:type="dxa"/>
            <w:shd w:val="clear" w:color="auto" w:fill="D9D9D9" w:themeFill="background1" w:themeFillShade="D9"/>
          </w:tcPr>
          <w:p w14:paraId="186AB23D" w14:textId="77777777" w:rsidR="00FB7DA0" w:rsidRPr="007546E5" w:rsidRDefault="00FB7DA0" w:rsidP="00FB7DA0">
            <w:pPr>
              <w:jc w:val="center"/>
              <w:rPr>
                <w:rFonts w:ascii="Times New Roman" w:hAnsi="Times New Roman" w:cs="Times New Roman"/>
                <w:b/>
              </w:rPr>
            </w:pPr>
            <w:r w:rsidRPr="007546E5">
              <w:rPr>
                <w:rFonts w:ascii="Times New Roman" w:hAnsi="Times New Roman" w:cs="Times New Roman"/>
                <w:b/>
              </w:rPr>
              <w:t>30</w:t>
            </w:r>
          </w:p>
        </w:tc>
      </w:tr>
      <w:tr w:rsidR="00FB7DA0" w:rsidRPr="007546E5" w14:paraId="16449E3D" w14:textId="77777777" w:rsidTr="00FB7DA0">
        <w:tc>
          <w:tcPr>
            <w:tcW w:w="7083" w:type="dxa"/>
          </w:tcPr>
          <w:p w14:paraId="7033B01E" w14:textId="3C92C667" w:rsidR="00FB7DA0" w:rsidRPr="007546E5" w:rsidRDefault="00FB7DA0" w:rsidP="00FB7DA0">
            <w:pPr>
              <w:jc w:val="both"/>
              <w:rPr>
                <w:rFonts w:ascii="Times New Roman" w:hAnsi="Times New Roman" w:cs="Times New Roman"/>
              </w:rPr>
            </w:pPr>
            <w:r w:rsidRPr="007546E5">
              <w:rPr>
                <w:rFonts w:ascii="Times New Roman" w:hAnsi="Times New Roman" w:cs="Times New Roman"/>
              </w:rPr>
              <w:t xml:space="preserve">2.1. Logika intervencije: Da li </w:t>
            </w:r>
            <w:r w:rsidR="002832D2" w:rsidRPr="007546E5">
              <w:rPr>
                <w:rFonts w:ascii="Times New Roman" w:hAnsi="Times New Roman" w:cs="Times New Roman"/>
              </w:rPr>
              <w:t>prijedlog</w:t>
            </w:r>
            <w:r w:rsidRPr="007546E5">
              <w:rPr>
                <w:rFonts w:ascii="Times New Roman" w:hAnsi="Times New Roman" w:cs="Times New Roman"/>
              </w:rPr>
              <w:t xml:space="preserve"> jasno navodi očekivane rezultate (izlaze/ishode/uticaj) koje akcija treba da ostvari? Da li dizajn predložene akcije jasno identifikuje potrebnu sekvencu za postizanje željenih ciljeva, počev od inputa, preko aktivnosti i izlaza, do ishoda i konačnog uticaja?</w:t>
            </w:r>
          </w:p>
        </w:tc>
        <w:tc>
          <w:tcPr>
            <w:tcW w:w="1557" w:type="dxa"/>
          </w:tcPr>
          <w:p w14:paraId="09F850E9" w14:textId="014641B6"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5x2</w:t>
            </w:r>
            <w:r w:rsidR="00511FDD">
              <w:rPr>
                <w:rFonts w:ascii="Times New Roman" w:hAnsi="Times New Roman" w:cs="Times New Roman"/>
              </w:rPr>
              <w:t>**</w:t>
            </w:r>
          </w:p>
        </w:tc>
      </w:tr>
      <w:tr w:rsidR="00FB7DA0" w:rsidRPr="007546E5" w14:paraId="29E76F39" w14:textId="77777777" w:rsidTr="00FB7DA0">
        <w:tc>
          <w:tcPr>
            <w:tcW w:w="7083" w:type="dxa"/>
          </w:tcPr>
          <w:p w14:paraId="61774859" w14:textId="7DF0975D" w:rsidR="00FB7DA0" w:rsidRPr="007546E5" w:rsidRDefault="00FB7DA0" w:rsidP="00FB7DA0">
            <w:pPr>
              <w:jc w:val="both"/>
              <w:rPr>
                <w:rFonts w:ascii="Times New Roman" w:hAnsi="Times New Roman" w:cs="Times New Roman"/>
              </w:rPr>
            </w:pPr>
            <w:r w:rsidRPr="007546E5">
              <w:rPr>
                <w:rFonts w:ascii="Times New Roman" w:hAnsi="Times New Roman" w:cs="Times New Roman"/>
              </w:rPr>
              <w:t>2.2. Analiza konteksta: Da li dizajn akcije uključuje temeljnu analizu potreba koje treba adresirati, uključujući kapacitete relevantnih aktera? Da li su ti elementi adekvatno integrisani u logiku intervencije?</w:t>
            </w:r>
          </w:p>
        </w:tc>
        <w:tc>
          <w:tcPr>
            <w:tcW w:w="1557" w:type="dxa"/>
          </w:tcPr>
          <w:p w14:paraId="381F7565" w14:textId="77777777"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w:t>
            </w:r>
          </w:p>
        </w:tc>
      </w:tr>
      <w:tr w:rsidR="00FB7DA0" w:rsidRPr="007546E5" w14:paraId="62ED1887" w14:textId="77777777" w:rsidTr="00FB7DA0">
        <w:tc>
          <w:tcPr>
            <w:tcW w:w="7083" w:type="dxa"/>
          </w:tcPr>
          <w:p w14:paraId="2EA294C8" w14:textId="34B28930" w:rsidR="00FB7DA0" w:rsidRPr="007546E5" w:rsidRDefault="00FB7DA0" w:rsidP="00FB7DA0">
            <w:pPr>
              <w:jc w:val="both"/>
              <w:rPr>
                <w:rFonts w:ascii="Times New Roman" w:hAnsi="Times New Roman" w:cs="Times New Roman"/>
              </w:rPr>
            </w:pPr>
            <w:r w:rsidRPr="007546E5">
              <w:rPr>
                <w:rFonts w:ascii="Times New Roman" w:hAnsi="Times New Roman" w:cs="Times New Roman"/>
              </w:rPr>
              <w:t>2.3. Rizici i pretpostavke: Da li je dizajn zasnovan na jasno definisanim pretpostavkama (neophodnim i pozitivnim uslovima koji omogućavaju uspješnu uzročno-posljedičnu vezu između različitih nivoa rezultata)? Da li uzima u obzir i rizike (faktore koji mogu otežati ostvarivanje rezultata)?</w:t>
            </w:r>
          </w:p>
        </w:tc>
        <w:tc>
          <w:tcPr>
            <w:tcW w:w="1557" w:type="dxa"/>
          </w:tcPr>
          <w:p w14:paraId="2E32838A" w14:textId="77777777"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w:t>
            </w:r>
          </w:p>
        </w:tc>
      </w:tr>
      <w:tr w:rsidR="00FB7DA0" w:rsidRPr="007546E5" w14:paraId="1C996D07" w14:textId="77777777" w:rsidTr="00FB7DA0">
        <w:tc>
          <w:tcPr>
            <w:tcW w:w="7083" w:type="dxa"/>
          </w:tcPr>
          <w:p w14:paraId="3CD2D340" w14:textId="3BF3D540" w:rsidR="00FB7DA0" w:rsidRPr="007546E5" w:rsidRDefault="00FB7DA0" w:rsidP="00FB7DA0">
            <w:pPr>
              <w:jc w:val="both"/>
              <w:rPr>
                <w:rFonts w:ascii="Times New Roman" w:hAnsi="Times New Roman" w:cs="Times New Roman"/>
              </w:rPr>
            </w:pPr>
            <w:r w:rsidRPr="007546E5">
              <w:rPr>
                <w:rFonts w:ascii="Times New Roman" w:hAnsi="Times New Roman" w:cs="Times New Roman"/>
              </w:rPr>
              <w:t>2.4. Indikativne aktivnosti: Da li je indikativna lista aktivnosti povezana i usklađena sa očekivanim izlazima?</w:t>
            </w:r>
          </w:p>
        </w:tc>
        <w:tc>
          <w:tcPr>
            <w:tcW w:w="1557" w:type="dxa"/>
          </w:tcPr>
          <w:p w14:paraId="7EFF20C7" w14:textId="77777777"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w:t>
            </w:r>
          </w:p>
        </w:tc>
      </w:tr>
      <w:tr w:rsidR="00FB7DA0" w:rsidRPr="007546E5" w14:paraId="0516A510" w14:textId="77777777" w:rsidTr="00FB7DA0">
        <w:tc>
          <w:tcPr>
            <w:tcW w:w="7083" w:type="dxa"/>
          </w:tcPr>
          <w:p w14:paraId="44F86D66" w14:textId="4E7BDB2E" w:rsidR="00FB7DA0" w:rsidRPr="007546E5" w:rsidRDefault="00FB7DA0" w:rsidP="00FB7DA0">
            <w:pPr>
              <w:jc w:val="both"/>
              <w:rPr>
                <w:rFonts w:ascii="Times New Roman" w:hAnsi="Times New Roman" w:cs="Times New Roman"/>
              </w:rPr>
            </w:pPr>
            <w:r w:rsidRPr="007546E5">
              <w:rPr>
                <w:rFonts w:ascii="Times New Roman" w:hAnsi="Times New Roman" w:cs="Times New Roman"/>
              </w:rPr>
              <w:t xml:space="preserve">2.5. Horizontalna pitanja: U kojoj mjeri </w:t>
            </w:r>
            <w:r w:rsidR="002832D2" w:rsidRPr="007546E5">
              <w:rPr>
                <w:rFonts w:ascii="Times New Roman" w:hAnsi="Times New Roman" w:cs="Times New Roman"/>
              </w:rPr>
              <w:t>prijedlog</w:t>
            </w:r>
            <w:r w:rsidRPr="007546E5">
              <w:rPr>
                <w:rFonts w:ascii="Times New Roman" w:hAnsi="Times New Roman" w:cs="Times New Roman"/>
              </w:rPr>
              <w:t xml:space="preserve"> integriše relevantne horizontalne elemente, kao što su pitanja životne sredine i klimatskih promjena, promocija rodne ravnopravnosti i jednakih mogućnosti, potrebe osoba sa invaliditetom, prava manjina i autohtonih naroda, pitanja mladih, kao i borba protiv HIV/AIDS-a (ukoliko postoji visoka prevalencija u ciljnoj zemlji/regionu)?</w:t>
            </w:r>
          </w:p>
        </w:tc>
        <w:tc>
          <w:tcPr>
            <w:tcW w:w="1557" w:type="dxa"/>
          </w:tcPr>
          <w:p w14:paraId="0989C351" w14:textId="77777777" w:rsidR="00FB7DA0" w:rsidRPr="007546E5" w:rsidRDefault="00FB7DA0" w:rsidP="00FB7DA0">
            <w:pPr>
              <w:jc w:val="center"/>
              <w:rPr>
                <w:rFonts w:ascii="Times New Roman" w:hAnsi="Times New Roman" w:cs="Times New Roman"/>
              </w:rPr>
            </w:pPr>
            <w:r w:rsidRPr="007546E5">
              <w:rPr>
                <w:rFonts w:ascii="Times New Roman" w:hAnsi="Times New Roman" w:cs="Times New Roman"/>
              </w:rPr>
              <w:t>5</w:t>
            </w:r>
          </w:p>
        </w:tc>
      </w:tr>
      <w:tr w:rsidR="00FB7DA0" w:rsidRPr="007546E5" w14:paraId="4BB3212F" w14:textId="77777777" w:rsidTr="00FB7DA0">
        <w:tc>
          <w:tcPr>
            <w:tcW w:w="7083" w:type="dxa"/>
            <w:shd w:val="clear" w:color="auto" w:fill="D9D9D9" w:themeFill="background1" w:themeFillShade="D9"/>
          </w:tcPr>
          <w:p w14:paraId="50C717D9" w14:textId="77777777" w:rsidR="00FB7DA0" w:rsidRPr="007546E5" w:rsidRDefault="00FB7DA0" w:rsidP="00FB7DA0">
            <w:pPr>
              <w:jc w:val="both"/>
              <w:rPr>
                <w:rFonts w:ascii="Times New Roman" w:hAnsi="Times New Roman" w:cs="Times New Roman"/>
                <w:b/>
              </w:rPr>
            </w:pPr>
            <w:r w:rsidRPr="007546E5">
              <w:rPr>
                <w:rFonts w:ascii="Times New Roman" w:hAnsi="Times New Roman" w:cs="Times New Roman"/>
                <w:b/>
              </w:rPr>
              <w:t>Ukupan maksimalni broj bodova</w:t>
            </w:r>
          </w:p>
        </w:tc>
        <w:tc>
          <w:tcPr>
            <w:tcW w:w="1557" w:type="dxa"/>
            <w:shd w:val="clear" w:color="auto" w:fill="D9D9D9" w:themeFill="background1" w:themeFillShade="D9"/>
          </w:tcPr>
          <w:p w14:paraId="00EAD327" w14:textId="77777777" w:rsidR="00FB7DA0" w:rsidRPr="007546E5" w:rsidRDefault="00FB7DA0" w:rsidP="00FB7DA0">
            <w:pPr>
              <w:jc w:val="center"/>
              <w:rPr>
                <w:rFonts w:ascii="Times New Roman" w:hAnsi="Times New Roman" w:cs="Times New Roman"/>
                <w:b/>
              </w:rPr>
            </w:pPr>
            <w:r w:rsidRPr="007546E5">
              <w:rPr>
                <w:rFonts w:ascii="Times New Roman" w:hAnsi="Times New Roman" w:cs="Times New Roman"/>
                <w:b/>
              </w:rPr>
              <w:t>50</w:t>
            </w:r>
          </w:p>
        </w:tc>
      </w:tr>
    </w:tbl>
    <w:p w14:paraId="0B33930C" w14:textId="655E1151" w:rsidR="00EA2C7C" w:rsidRPr="007546E5" w:rsidRDefault="00FB7DA0" w:rsidP="001A2234">
      <w:pPr>
        <w:pStyle w:val="NormalWeb"/>
        <w:jc w:val="both"/>
        <w:rPr>
          <w:b/>
          <w:sz w:val="22"/>
          <w:szCs w:val="22"/>
          <w:lang w:val="sr-Latn-ME"/>
        </w:rPr>
      </w:pPr>
      <w:r w:rsidRPr="007546E5">
        <w:rPr>
          <w:b/>
          <w:sz w:val="22"/>
          <w:szCs w:val="22"/>
          <w:lang w:val="sr-Latn-ME"/>
        </w:rPr>
        <w:t>** : ovaj broj bodova se množi sa 2 zbog njegovog značaja</w:t>
      </w:r>
    </w:p>
    <w:p w14:paraId="49CF723C" w14:textId="77777777" w:rsidR="00FB7DA0" w:rsidRPr="007546E5" w:rsidRDefault="00FB7DA0" w:rsidP="00FB7DA0">
      <w:pPr>
        <w:pStyle w:val="NormalWeb"/>
        <w:jc w:val="both"/>
        <w:rPr>
          <w:sz w:val="22"/>
          <w:szCs w:val="22"/>
          <w:lang w:val="sr-Latn-ME"/>
        </w:rPr>
      </w:pPr>
      <w:r w:rsidRPr="007546E5">
        <w:rPr>
          <w:sz w:val="22"/>
          <w:szCs w:val="22"/>
          <w:lang w:val="sr-Latn-ME"/>
        </w:rPr>
        <w:lastRenderedPageBreak/>
        <w:t>Nakon što svi sažeti opisi projekata budu ocijenjeni, biće sastavljena lista predloženih akcija rangiranih prema ukupnom broju bodova.</w:t>
      </w:r>
    </w:p>
    <w:p w14:paraId="365E5006" w14:textId="77777777" w:rsidR="00FB7DA0" w:rsidRPr="007546E5" w:rsidRDefault="00FB7DA0" w:rsidP="00FB7DA0">
      <w:pPr>
        <w:pStyle w:val="NormalWeb"/>
        <w:jc w:val="both"/>
        <w:rPr>
          <w:sz w:val="22"/>
          <w:szCs w:val="22"/>
          <w:lang w:val="sr-Latn-ME"/>
        </w:rPr>
      </w:pPr>
      <w:r w:rsidRPr="007546E5">
        <w:rPr>
          <w:sz w:val="22"/>
          <w:szCs w:val="22"/>
          <w:lang w:val="sr-Latn-ME"/>
        </w:rPr>
        <w:t>Prvo, za prethodni izbor biće uzeti u obzir samo sažeti opisi projekata koji ostvare najmanje 30 bodova.</w:t>
      </w:r>
    </w:p>
    <w:p w14:paraId="5B30C30E" w14:textId="5555E18C" w:rsidR="00FB7DA0" w:rsidRPr="007546E5" w:rsidRDefault="00FB7DA0" w:rsidP="00FB7DA0">
      <w:pPr>
        <w:pStyle w:val="NormalWeb"/>
        <w:jc w:val="both"/>
        <w:rPr>
          <w:sz w:val="22"/>
          <w:szCs w:val="22"/>
          <w:lang w:val="sr-Latn-ME"/>
        </w:rPr>
      </w:pPr>
      <w:r w:rsidRPr="007546E5">
        <w:rPr>
          <w:sz w:val="22"/>
          <w:szCs w:val="22"/>
          <w:lang w:val="sr-Latn-ME"/>
        </w:rPr>
        <w:t xml:space="preserve">Drugo, broj sažetih opisa projekata biće smanjen, uzimajući u obzir rang-listu, na broj onih čiji ukupan zbir traženih doprinosa iznosi najmanje 400% raspoloživog budžeta za ovaj poziv za dostavljanje </w:t>
      </w:r>
      <w:r w:rsidR="002832D2" w:rsidRPr="007546E5">
        <w:rPr>
          <w:sz w:val="22"/>
          <w:szCs w:val="22"/>
          <w:lang w:val="sr-Latn-ME"/>
        </w:rPr>
        <w:t>prijedlog</w:t>
      </w:r>
      <w:r w:rsidRPr="007546E5">
        <w:rPr>
          <w:sz w:val="22"/>
          <w:szCs w:val="22"/>
          <w:lang w:val="sr-Latn-ME"/>
        </w:rPr>
        <w:t>a projekata. Iznos traženih doprinosa za svaki sažeti opis projekta zasnivaće se na indikativnim finansijskim alokacijama po lotovima, gdje je to primjenjivo.</w:t>
      </w:r>
    </w:p>
    <w:p w14:paraId="78B7D7DC" w14:textId="77777777" w:rsidR="00FB7DA0" w:rsidRPr="007546E5" w:rsidRDefault="00FB7DA0" w:rsidP="00FB7DA0">
      <w:pPr>
        <w:pStyle w:val="NormalWeb"/>
        <w:jc w:val="both"/>
        <w:rPr>
          <w:sz w:val="22"/>
          <w:szCs w:val="22"/>
          <w:lang w:val="sr-Latn-ME"/>
        </w:rPr>
      </w:pPr>
      <w:r w:rsidRPr="007546E5">
        <w:rPr>
          <w:sz w:val="22"/>
          <w:szCs w:val="22"/>
          <w:lang w:val="sr-Latn-ME"/>
        </w:rPr>
        <w:t>Vodeći podnosioci prijava će dobiti pismo sa referentnim brojem njihove prijave i odgovarajućim rezultatima. Ovo pismo će se automatski pojaviti online u PROSPECT profilu vodećeg podnosioca prijave.</w:t>
      </w:r>
    </w:p>
    <w:p w14:paraId="7CF269BA" w14:textId="77777777" w:rsidR="00FB7DA0" w:rsidRPr="007546E5" w:rsidRDefault="00FB7DA0" w:rsidP="00FB7DA0">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2.3.2. KORAK 2: OCJENJIVANJE KOMPLETNE PRIJAVE</w:t>
      </w:r>
    </w:p>
    <w:p w14:paraId="7ACF0C56" w14:textId="77777777" w:rsidR="00FB7DA0" w:rsidRPr="007546E5" w:rsidRDefault="00FB7DA0" w:rsidP="00FB7DA0">
      <w:pPr>
        <w:pStyle w:val="NormalWeb"/>
        <w:jc w:val="both"/>
        <w:rPr>
          <w:sz w:val="22"/>
          <w:szCs w:val="22"/>
          <w:lang w:val="sr-Latn-ME"/>
        </w:rPr>
      </w:pPr>
      <w:r w:rsidRPr="007546E5">
        <w:rPr>
          <w:sz w:val="22"/>
          <w:szCs w:val="22"/>
          <w:lang w:val="sr-Latn-ME"/>
        </w:rPr>
        <w:t>Ukoliko prijave prođu provjeru otvaranja i administrativne provjere u skladu sa uputstvima iz Koraka 1, biće dalje ocijenjene u pogledu kvaliteta, uključujući predloženi budžet i kapacitete podnosilaca prijava i povezanih subjekata. Ocjenjivanje će se vršiti na osnovu kriterijuma iz evaluacione matrice u nastavku. Postoje dvije vrste kriterijuma evaluacije: kriterijumi za izbor i kriterijumi za dodjelu.</w:t>
      </w:r>
    </w:p>
    <w:p w14:paraId="74194489" w14:textId="77777777" w:rsidR="00FB7DA0" w:rsidRPr="007546E5" w:rsidRDefault="00FB7DA0" w:rsidP="00FB7DA0">
      <w:pPr>
        <w:pStyle w:val="NormalWeb"/>
        <w:jc w:val="both"/>
        <w:rPr>
          <w:sz w:val="22"/>
          <w:szCs w:val="22"/>
          <w:lang w:val="sr-Latn-ME"/>
        </w:rPr>
      </w:pPr>
      <w:r w:rsidRPr="007546E5">
        <w:rPr>
          <w:rStyle w:val="Strong"/>
          <w:sz w:val="22"/>
          <w:szCs w:val="22"/>
          <w:u w:val="single"/>
          <w:lang w:val="sr-Latn-ME"/>
        </w:rPr>
        <w:t>Kriterijumi za izbor</w:t>
      </w:r>
      <w:r w:rsidRPr="007546E5">
        <w:rPr>
          <w:sz w:val="22"/>
          <w:szCs w:val="22"/>
          <w:lang w:val="sr-Latn-ME"/>
        </w:rPr>
        <w:t xml:space="preserve"> služe za procjenu operativnog kapaciteta podnosioca prijava i povezanih subjekata, kao i finansijskog kapaciteta vodećeg podnosioca prijave, i koriste se za provjeru da li oni:</w:t>
      </w:r>
    </w:p>
    <w:p w14:paraId="0867415F" w14:textId="77777777" w:rsidR="00FB7DA0" w:rsidRPr="007546E5" w:rsidRDefault="00FB7DA0" w:rsidP="00FB7DA0">
      <w:pPr>
        <w:numPr>
          <w:ilvl w:val="0"/>
          <w:numId w:val="2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imaju stabilne i dovoljne izvore finansiranja kako bi održali svoje aktivnosti tokom sprovođenja predložene akcije i, gdje je to primjenjivo, učestvovali u njenom finansiranju (ovo se odnosi samo na vodeće podnosioce prijava); </w:t>
      </w:r>
    </w:p>
    <w:p w14:paraId="7C4387E4" w14:textId="3E7D72BF" w:rsidR="00FB7DA0" w:rsidRPr="007546E5" w:rsidRDefault="00FB7DA0" w:rsidP="00FB7DA0">
      <w:pPr>
        <w:numPr>
          <w:ilvl w:val="0"/>
          <w:numId w:val="23"/>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posjeduju upravljačke kapacitete, profesionalne kompetencije i kvalifikacije potrebne za uspješno sprovođenje predložene akcije (ovo se odnosi na podnosioce prijava i povezan</w:t>
      </w:r>
      <w:r w:rsidR="00D75CB7">
        <w:rPr>
          <w:rFonts w:ascii="Times New Roman" w:hAnsi="Times New Roman" w:cs="Times New Roman"/>
        </w:rPr>
        <w:t>i(</w:t>
      </w:r>
      <w:r w:rsidRPr="007546E5">
        <w:rPr>
          <w:rFonts w:ascii="Times New Roman" w:hAnsi="Times New Roman" w:cs="Times New Roman"/>
        </w:rPr>
        <w:t>e</w:t>
      </w:r>
      <w:r w:rsidR="00D75CB7">
        <w:rPr>
          <w:rFonts w:ascii="Times New Roman" w:hAnsi="Times New Roman" w:cs="Times New Roman"/>
        </w:rPr>
        <w:t>)</w:t>
      </w:r>
      <w:r w:rsidRPr="007546E5">
        <w:rPr>
          <w:rFonts w:ascii="Times New Roman" w:hAnsi="Times New Roman" w:cs="Times New Roman"/>
        </w:rPr>
        <w:t xml:space="preserve"> subjek</w:t>
      </w:r>
      <w:r w:rsidR="00D75CB7">
        <w:rPr>
          <w:rFonts w:ascii="Times New Roman" w:hAnsi="Times New Roman" w:cs="Times New Roman"/>
        </w:rPr>
        <w:t>at(</w:t>
      </w:r>
      <w:r w:rsidRPr="007546E5">
        <w:rPr>
          <w:rFonts w:ascii="Times New Roman" w:hAnsi="Times New Roman" w:cs="Times New Roman"/>
        </w:rPr>
        <w:t>e</w:t>
      </w:r>
      <w:r w:rsidR="00D75CB7">
        <w:rPr>
          <w:rFonts w:ascii="Times New Roman" w:hAnsi="Times New Roman" w:cs="Times New Roman"/>
        </w:rPr>
        <w:t>)</w:t>
      </w:r>
      <w:r w:rsidRPr="007546E5">
        <w:rPr>
          <w:rFonts w:ascii="Times New Roman" w:hAnsi="Times New Roman" w:cs="Times New Roman"/>
        </w:rPr>
        <w:t xml:space="preserve">). </w:t>
      </w:r>
    </w:p>
    <w:p w14:paraId="45C12060" w14:textId="77777777" w:rsidR="00FB7DA0" w:rsidRPr="007546E5" w:rsidRDefault="00FB7DA0" w:rsidP="00FB7DA0">
      <w:pPr>
        <w:pStyle w:val="NormalWeb"/>
        <w:jc w:val="both"/>
        <w:rPr>
          <w:sz w:val="22"/>
          <w:szCs w:val="22"/>
          <w:lang w:val="sr-Latn-ME"/>
        </w:rPr>
      </w:pPr>
      <w:r w:rsidRPr="007546E5">
        <w:rPr>
          <w:sz w:val="22"/>
          <w:szCs w:val="22"/>
          <w:lang w:val="sr-Latn-ME"/>
        </w:rPr>
        <w:t>U svrhu procjene finansijskog kapaciteta, vodeći podnosioci prijava moraju obezbijediti da su relevantne informacije i dokumentacija (tj. finansijski izvještaji za posljednju finansijsku godinu i revizorski izvještaj, gdje je primjenjivo) ažurirani, bilo u njihovom PADOR profilu ili prilikom dostavljanja traženih dokumenata uz obrazac za registraciju u PADOR-u. Ukoliko su tražene informacije i dokumenti zastarjeli i ne omogućavaju adekvatnu procjenu finansijskog kapaciteta, prijava može biti odbijena.</w:t>
      </w:r>
    </w:p>
    <w:p w14:paraId="1D03E81B" w14:textId="081F6835" w:rsidR="00FB7DA0" w:rsidRPr="007546E5" w:rsidRDefault="00FB7DA0" w:rsidP="00FB7DA0">
      <w:pPr>
        <w:pStyle w:val="NormalWeb"/>
        <w:jc w:val="both"/>
        <w:rPr>
          <w:sz w:val="22"/>
          <w:szCs w:val="22"/>
          <w:lang w:val="sr-Latn-ME"/>
        </w:rPr>
      </w:pPr>
      <w:r w:rsidRPr="007546E5">
        <w:rPr>
          <w:rStyle w:val="Strong"/>
          <w:sz w:val="22"/>
          <w:szCs w:val="22"/>
          <w:u w:val="single"/>
          <w:lang w:val="sr-Latn-ME"/>
        </w:rPr>
        <w:t>Kriterijumi za dodjelu</w:t>
      </w:r>
      <w:r w:rsidRPr="007546E5">
        <w:rPr>
          <w:sz w:val="22"/>
          <w:szCs w:val="22"/>
          <w:lang w:val="sr-Latn-ME"/>
        </w:rPr>
        <w:t xml:space="preserve"> služe za procjenu kvaliteta prijava u odnosu na ciljeve i prioritete utvrđene u Smjernicama, te za dodjelu grantova projektima koji maksimalno doprinose ukupnoj efikasnosti ovog poziva. Oni omogućavaju odabir prijava za koje ugovorno tijelo može sa sigurnošću utvrditi da će biti u skladu sa njegovim ciljevima i prioritetima. Ovi kriterijumi obuhvataju relevantnost akcije, njenu usklađenost sa ciljevima poziva, kvalitet, očekivani uticaj, održivost i troškovnu efikasnost.</w:t>
      </w:r>
    </w:p>
    <w:p w14:paraId="4B195B47" w14:textId="77777777" w:rsidR="00FB7DA0" w:rsidRPr="007546E5" w:rsidRDefault="00FB7DA0" w:rsidP="00FB7DA0">
      <w:pPr>
        <w:pStyle w:val="Heading3"/>
        <w:jc w:val="both"/>
        <w:rPr>
          <w:rFonts w:ascii="Times New Roman" w:hAnsi="Times New Roman" w:cs="Times New Roman"/>
          <w:i/>
          <w:color w:val="auto"/>
          <w:sz w:val="22"/>
          <w:szCs w:val="22"/>
        </w:rPr>
      </w:pPr>
      <w:r w:rsidRPr="007546E5">
        <w:rPr>
          <w:rStyle w:val="Strong"/>
          <w:rFonts w:ascii="Times New Roman" w:hAnsi="Times New Roman" w:cs="Times New Roman"/>
          <w:bCs w:val="0"/>
          <w:i/>
          <w:color w:val="auto"/>
          <w:sz w:val="22"/>
          <w:szCs w:val="22"/>
        </w:rPr>
        <w:t>Bodovanje:</w:t>
      </w:r>
    </w:p>
    <w:p w14:paraId="26CF9B05" w14:textId="001D565C" w:rsidR="00FB7DA0" w:rsidRPr="007546E5" w:rsidRDefault="00FB7DA0" w:rsidP="00FB7DA0">
      <w:pPr>
        <w:pStyle w:val="NormalWeb"/>
        <w:jc w:val="both"/>
        <w:rPr>
          <w:sz w:val="22"/>
          <w:szCs w:val="22"/>
          <w:lang w:val="sr-Latn-ME"/>
        </w:rPr>
      </w:pPr>
      <w:r w:rsidRPr="007546E5">
        <w:rPr>
          <w:sz w:val="22"/>
          <w:szCs w:val="22"/>
          <w:lang w:val="sr-Latn-ME"/>
        </w:rPr>
        <w:t>Evaluaciona matrica podijeljena je na sekcije i potsekcije. Svaka potsekcija ocjenjuje se ocjenom od 1 do 5, na sljedeći način: 1 = vrlo loše; 2 = loše; 3 = zadovoljavajuće; 4 = dobro; 5 = veoma dobro.</w:t>
      </w:r>
    </w:p>
    <w:p w14:paraId="37ED5D98" w14:textId="4AB18741" w:rsidR="00FB7DA0" w:rsidRPr="007546E5" w:rsidRDefault="00FB7DA0" w:rsidP="00FB7DA0">
      <w:pPr>
        <w:pStyle w:val="NormalWeb"/>
        <w:jc w:val="both"/>
        <w:rPr>
          <w:b/>
          <w:sz w:val="22"/>
          <w:szCs w:val="22"/>
          <w:lang w:val="sr-Latn-ME"/>
        </w:rPr>
      </w:pPr>
      <w:r w:rsidRPr="007546E5">
        <w:rPr>
          <w:b/>
          <w:sz w:val="22"/>
          <w:szCs w:val="22"/>
          <w:lang w:val="sr-Latn-ME"/>
        </w:rPr>
        <w:t>Evaluaciona matrica</w:t>
      </w:r>
    </w:p>
    <w:tbl>
      <w:tblPr>
        <w:tblStyle w:val="TableGrid"/>
        <w:tblW w:w="0" w:type="auto"/>
        <w:tblLook w:val="04A0" w:firstRow="1" w:lastRow="0" w:firstColumn="1" w:lastColumn="0" w:noHBand="0" w:noVBand="1"/>
      </w:tblPr>
      <w:tblGrid>
        <w:gridCol w:w="7366"/>
        <w:gridCol w:w="1650"/>
      </w:tblGrid>
      <w:tr w:rsidR="00643B19" w:rsidRPr="007546E5" w14:paraId="1E781A7A" w14:textId="77777777" w:rsidTr="00643B19">
        <w:tc>
          <w:tcPr>
            <w:tcW w:w="7366" w:type="dxa"/>
          </w:tcPr>
          <w:p w14:paraId="25359152" w14:textId="77777777" w:rsidR="00643B19" w:rsidRPr="007546E5" w:rsidRDefault="00643B19" w:rsidP="00EF2510">
            <w:pPr>
              <w:rPr>
                <w:rFonts w:ascii="Times New Roman" w:hAnsi="Times New Roman" w:cs="Times New Roman"/>
                <w:b/>
              </w:rPr>
            </w:pPr>
            <w:r w:rsidRPr="007546E5">
              <w:rPr>
                <w:rFonts w:ascii="Times New Roman" w:hAnsi="Times New Roman" w:cs="Times New Roman"/>
                <w:b/>
              </w:rPr>
              <w:t>Sekcija</w:t>
            </w:r>
          </w:p>
        </w:tc>
        <w:tc>
          <w:tcPr>
            <w:tcW w:w="1650" w:type="dxa"/>
          </w:tcPr>
          <w:p w14:paraId="1314C28B" w14:textId="77777777" w:rsidR="00643B19" w:rsidRPr="007546E5" w:rsidRDefault="00643B19" w:rsidP="00EF2510">
            <w:pPr>
              <w:rPr>
                <w:rFonts w:ascii="Times New Roman" w:hAnsi="Times New Roman" w:cs="Times New Roman"/>
                <w:b/>
              </w:rPr>
            </w:pPr>
            <w:r w:rsidRPr="007546E5">
              <w:rPr>
                <w:rFonts w:ascii="Times New Roman" w:hAnsi="Times New Roman" w:cs="Times New Roman"/>
                <w:b/>
              </w:rPr>
              <w:t>Maksimalni broj bodova</w:t>
            </w:r>
          </w:p>
        </w:tc>
      </w:tr>
      <w:tr w:rsidR="00643B19" w:rsidRPr="007546E5" w14:paraId="32C53FC5" w14:textId="77777777" w:rsidTr="00643B19">
        <w:tc>
          <w:tcPr>
            <w:tcW w:w="7366" w:type="dxa"/>
            <w:shd w:val="clear" w:color="auto" w:fill="D9D9D9" w:themeFill="background1" w:themeFillShade="D9"/>
          </w:tcPr>
          <w:p w14:paraId="009C74D8" w14:textId="77777777" w:rsidR="00643B19" w:rsidRPr="007546E5" w:rsidRDefault="00643B19" w:rsidP="00C84476">
            <w:pPr>
              <w:jc w:val="both"/>
              <w:rPr>
                <w:rFonts w:ascii="Times New Roman" w:hAnsi="Times New Roman" w:cs="Times New Roman"/>
                <w:b/>
              </w:rPr>
            </w:pPr>
            <w:r w:rsidRPr="007546E5">
              <w:rPr>
                <w:rFonts w:ascii="Times New Roman" w:hAnsi="Times New Roman" w:cs="Times New Roman"/>
                <w:b/>
              </w:rPr>
              <w:lastRenderedPageBreak/>
              <w:t>1. Finansijski i operativni kapacitet</w:t>
            </w:r>
          </w:p>
        </w:tc>
        <w:tc>
          <w:tcPr>
            <w:tcW w:w="1650" w:type="dxa"/>
            <w:shd w:val="clear" w:color="auto" w:fill="D9D9D9" w:themeFill="background1" w:themeFillShade="D9"/>
          </w:tcPr>
          <w:p w14:paraId="0D3B30A1" w14:textId="77777777" w:rsidR="00643B19" w:rsidRPr="007546E5" w:rsidRDefault="00643B19" w:rsidP="00643B19">
            <w:pPr>
              <w:jc w:val="center"/>
              <w:rPr>
                <w:rFonts w:ascii="Times New Roman" w:hAnsi="Times New Roman" w:cs="Times New Roman"/>
                <w:b/>
              </w:rPr>
            </w:pPr>
            <w:r w:rsidRPr="007546E5">
              <w:rPr>
                <w:rFonts w:ascii="Times New Roman" w:hAnsi="Times New Roman" w:cs="Times New Roman"/>
                <w:b/>
              </w:rPr>
              <w:t>20</w:t>
            </w:r>
          </w:p>
        </w:tc>
      </w:tr>
      <w:tr w:rsidR="00643B19" w:rsidRPr="007546E5" w14:paraId="703C7A52" w14:textId="77777777" w:rsidTr="00643B19">
        <w:tc>
          <w:tcPr>
            <w:tcW w:w="7366" w:type="dxa"/>
          </w:tcPr>
          <w:p w14:paraId="542C3F25" w14:textId="77777777" w:rsidR="00643B19" w:rsidRPr="007546E5" w:rsidRDefault="00643B19" w:rsidP="00C84476">
            <w:pPr>
              <w:jc w:val="both"/>
              <w:rPr>
                <w:rFonts w:ascii="Times New Roman" w:hAnsi="Times New Roman" w:cs="Times New Roman"/>
              </w:rPr>
            </w:pPr>
            <w:r w:rsidRPr="007546E5">
              <w:rPr>
                <w:rFonts w:ascii="Times New Roman" w:hAnsi="Times New Roman" w:cs="Times New Roman"/>
              </w:rPr>
              <w:t>1.1. Da li podnosioci prijava i, gdje je primjenjivo, njihovi povezani subjekti imaju dovoljno internog iskustva u upravljanju projektima?</w:t>
            </w:r>
          </w:p>
        </w:tc>
        <w:tc>
          <w:tcPr>
            <w:tcW w:w="1650" w:type="dxa"/>
          </w:tcPr>
          <w:p w14:paraId="407F5714"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4A1278D4" w14:textId="77777777" w:rsidTr="00643B19">
        <w:tc>
          <w:tcPr>
            <w:tcW w:w="7366" w:type="dxa"/>
          </w:tcPr>
          <w:p w14:paraId="5B2D96BF" w14:textId="77777777" w:rsidR="00643B19" w:rsidRPr="007546E5" w:rsidRDefault="00643B19" w:rsidP="00C84476">
            <w:pPr>
              <w:jc w:val="both"/>
              <w:rPr>
                <w:rFonts w:ascii="Times New Roman" w:hAnsi="Times New Roman" w:cs="Times New Roman"/>
              </w:rPr>
            </w:pPr>
            <w:r w:rsidRPr="007546E5">
              <w:rPr>
                <w:rFonts w:ascii="Times New Roman" w:hAnsi="Times New Roman" w:cs="Times New Roman"/>
              </w:rPr>
              <w:t>1.2. Da li podnosioci prijava i, gdje je primjenjivo, njihovi povezani subjekti imaju dovoljno interne tehničke stručnosti (posebno poznavanje pitanja kojima se treba baviti)?</w:t>
            </w:r>
          </w:p>
        </w:tc>
        <w:tc>
          <w:tcPr>
            <w:tcW w:w="1650" w:type="dxa"/>
          </w:tcPr>
          <w:p w14:paraId="7EFCFA12"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04727313" w14:textId="77777777" w:rsidTr="00643B19">
        <w:tc>
          <w:tcPr>
            <w:tcW w:w="7366" w:type="dxa"/>
          </w:tcPr>
          <w:p w14:paraId="41B23342" w14:textId="77777777" w:rsidR="00643B19" w:rsidRPr="007546E5" w:rsidRDefault="00643B19" w:rsidP="00C84476">
            <w:pPr>
              <w:jc w:val="both"/>
              <w:rPr>
                <w:rFonts w:ascii="Times New Roman" w:hAnsi="Times New Roman" w:cs="Times New Roman"/>
              </w:rPr>
            </w:pPr>
            <w:r w:rsidRPr="007546E5">
              <w:rPr>
                <w:rFonts w:ascii="Times New Roman" w:hAnsi="Times New Roman" w:cs="Times New Roman"/>
              </w:rPr>
              <w:t>1.3. Da li podnosioci prijava i, gdje je primjenjivo, njihovi povezani subjekti imaju dovoljne interne upravljačke kapacitete (uključujući osoblje, opremu i sposobnost upravljanja budžetom akcije)?</w:t>
            </w:r>
          </w:p>
        </w:tc>
        <w:tc>
          <w:tcPr>
            <w:tcW w:w="1650" w:type="dxa"/>
          </w:tcPr>
          <w:p w14:paraId="6C654770"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4E957022" w14:textId="77777777" w:rsidTr="00643B19">
        <w:tc>
          <w:tcPr>
            <w:tcW w:w="7366" w:type="dxa"/>
          </w:tcPr>
          <w:p w14:paraId="35B55C38" w14:textId="77777777" w:rsidR="00643B19" w:rsidRPr="007546E5" w:rsidRDefault="00643B19" w:rsidP="00C84476">
            <w:pPr>
              <w:jc w:val="both"/>
              <w:rPr>
                <w:rFonts w:ascii="Times New Roman" w:hAnsi="Times New Roman" w:cs="Times New Roman"/>
              </w:rPr>
            </w:pPr>
            <w:r w:rsidRPr="007546E5">
              <w:rPr>
                <w:rFonts w:ascii="Times New Roman" w:hAnsi="Times New Roman" w:cs="Times New Roman"/>
              </w:rPr>
              <w:t>1.4. Da li vodeći podnosilac prijave ima stabilne i dovoljne izvore finansiranja?</w:t>
            </w:r>
          </w:p>
        </w:tc>
        <w:tc>
          <w:tcPr>
            <w:tcW w:w="1650" w:type="dxa"/>
          </w:tcPr>
          <w:p w14:paraId="099FB2A7"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6B8638C3" w14:textId="77777777" w:rsidTr="00643B19">
        <w:tc>
          <w:tcPr>
            <w:tcW w:w="7366" w:type="dxa"/>
            <w:shd w:val="clear" w:color="auto" w:fill="D9D9D9" w:themeFill="background1" w:themeFillShade="D9"/>
          </w:tcPr>
          <w:p w14:paraId="55FB9C6C" w14:textId="77777777" w:rsidR="00643B19" w:rsidRPr="007546E5" w:rsidRDefault="00643B19" w:rsidP="00C84476">
            <w:pPr>
              <w:jc w:val="both"/>
              <w:rPr>
                <w:rFonts w:ascii="Times New Roman" w:hAnsi="Times New Roman" w:cs="Times New Roman"/>
                <w:b/>
              </w:rPr>
            </w:pPr>
            <w:r w:rsidRPr="007546E5">
              <w:rPr>
                <w:rFonts w:ascii="Times New Roman" w:hAnsi="Times New Roman" w:cs="Times New Roman"/>
                <w:b/>
              </w:rPr>
              <w:t>2. Relevantnost akcije</w:t>
            </w:r>
          </w:p>
        </w:tc>
        <w:tc>
          <w:tcPr>
            <w:tcW w:w="1650" w:type="dxa"/>
            <w:shd w:val="clear" w:color="auto" w:fill="D9D9D9" w:themeFill="background1" w:themeFillShade="D9"/>
          </w:tcPr>
          <w:p w14:paraId="30ACAD6F" w14:textId="77777777" w:rsidR="00643B19" w:rsidRPr="007546E5" w:rsidRDefault="00643B19" w:rsidP="00643B19">
            <w:pPr>
              <w:jc w:val="center"/>
              <w:rPr>
                <w:rFonts w:ascii="Times New Roman" w:hAnsi="Times New Roman" w:cs="Times New Roman"/>
                <w:b/>
              </w:rPr>
            </w:pPr>
            <w:r w:rsidRPr="007546E5">
              <w:rPr>
                <w:rFonts w:ascii="Times New Roman" w:hAnsi="Times New Roman" w:cs="Times New Roman"/>
                <w:b/>
              </w:rPr>
              <w:t>20</w:t>
            </w:r>
          </w:p>
        </w:tc>
      </w:tr>
      <w:tr w:rsidR="00643B19" w:rsidRPr="007546E5" w14:paraId="29FBD872" w14:textId="77777777" w:rsidTr="00643B19">
        <w:tc>
          <w:tcPr>
            <w:tcW w:w="7366" w:type="dxa"/>
          </w:tcPr>
          <w:p w14:paraId="173C8EF2" w14:textId="6254C5FB"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2.1. Usklađenost sa ciljevima poziva: </w:t>
            </w:r>
            <w:r w:rsidR="00C84476" w:rsidRPr="007546E5">
              <w:rPr>
                <w:rFonts w:ascii="Times New Roman" w:hAnsi="Times New Roman" w:cs="Times New Roman"/>
              </w:rPr>
              <w:t xml:space="preserve">Koliko je </w:t>
            </w:r>
            <w:r w:rsidR="002832D2" w:rsidRPr="007546E5">
              <w:rPr>
                <w:rFonts w:ascii="Times New Roman" w:hAnsi="Times New Roman" w:cs="Times New Roman"/>
              </w:rPr>
              <w:t>prijedlog</w:t>
            </w:r>
            <w:r w:rsidR="00C84476" w:rsidRPr="007546E5">
              <w:rPr>
                <w:rFonts w:ascii="Times New Roman" w:hAnsi="Times New Roman" w:cs="Times New Roman"/>
              </w:rPr>
              <w:t xml:space="preserve"> relevantan u odnosu na ciljeve i prioritete poziva za dostavljanje </w:t>
            </w:r>
            <w:r w:rsidR="002832D2" w:rsidRPr="007546E5">
              <w:rPr>
                <w:rFonts w:ascii="Times New Roman" w:hAnsi="Times New Roman" w:cs="Times New Roman"/>
              </w:rPr>
              <w:t>prijedlog</w:t>
            </w:r>
            <w:r w:rsidR="00C84476" w:rsidRPr="007546E5">
              <w:rPr>
                <w:rFonts w:ascii="Times New Roman" w:hAnsi="Times New Roman" w:cs="Times New Roman"/>
              </w:rPr>
              <w:t xml:space="preserve">a projekata, kao i na specifične teme/sektore/oblasti ili bilo koji drugi specifični zahtjev naveden u </w:t>
            </w:r>
            <w:r w:rsidR="00301394">
              <w:rPr>
                <w:rFonts w:ascii="Times New Roman" w:hAnsi="Times New Roman" w:cs="Times New Roman"/>
              </w:rPr>
              <w:t>s</w:t>
            </w:r>
            <w:r w:rsidR="00C84476" w:rsidRPr="007546E5">
              <w:rPr>
                <w:rFonts w:ascii="Times New Roman" w:hAnsi="Times New Roman" w:cs="Times New Roman"/>
              </w:rPr>
              <w:t xml:space="preserve">mjernicama za podnosioce prijava? Da li su očekivani rezultati akcije usklađeni sa prioritetima definisanim u </w:t>
            </w:r>
            <w:r w:rsidR="00301394">
              <w:rPr>
                <w:rFonts w:ascii="Times New Roman" w:hAnsi="Times New Roman" w:cs="Times New Roman"/>
              </w:rPr>
              <w:t>s</w:t>
            </w:r>
            <w:r w:rsidR="00C84476" w:rsidRPr="007546E5">
              <w:rPr>
                <w:rFonts w:ascii="Times New Roman" w:hAnsi="Times New Roman" w:cs="Times New Roman"/>
              </w:rPr>
              <w:t>mjernicama za podnosioce prijava (odjeljak 1.2)?</w:t>
            </w:r>
          </w:p>
        </w:tc>
        <w:tc>
          <w:tcPr>
            <w:tcW w:w="1650" w:type="dxa"/>
          </w:tcPr>
          <w:p w14:paraId="0944A85E"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56DDD62D" w14:textId="77777777" w:rsidTr="00643B19">
        <w:tc>
          <w:tcPr>
            <w:tcW w:w="7366" w:type="dxa"/>
          </w:tcPr>
          <w:p w14:paraId="3DAB4D07" w14:textId="708FCE46"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2.2. Relevantnost za potrebe zemlje/regiona/sektora: </w:t>
            </w:r>
            <w:r w:rsidR="00C84476" w:rsidRPr="007546E5">
              <w:rPr>
                <w:rFonts w:ascii="Times New Roman" w:hAnsi="Times New Roman" w:cs="Times New Roman"/>
              </w:rPr>
              <w:t xml:space="preserve">Koliko je </w:t>
            </w:r>
            <w:r w:rsidR="002832D2" w:rsidRPr="007546E5">
              <w:rPr>
                <w:rFonts w:ascii="Times New Roman" w:hAnsi="Times New Roman" w:cs="Times New Roman"/>
              </w:rPr>
              <w:t>prijedlog</w:t>
            </w:r>
            <w:r w:rsidR="00C84476" w:rsidRPr="007546E5">
              <w:rPr>
                <w:rFonts w:ascii="Times New Roman" w:hAnsi="Times New Roman" w:cs="Times New Roman"/>
              </w:rPr>
              <w:t xml:space="preserve"> relevantan u odnosu na specifične potrebe i ograničenja ciljne zemlje(a), regiona(a) i/ili relevantnih sektora (uključujući sinergiju sa drugim razvojnim inicijativama i izbjegavanje dupliranja aktivnosti)?</w:t>
            </w:r>
          </w:p>
        </w:tc>
        <w:tc>
          <w:tcPr>
            <w:tcW w:w="1650" w:type="dxa"/>
          </w:tcPr>
          <w:p w14:paraId="6FB6E78C"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768338D0" w14:textId="77777777" w:rsidTr="00643B19">
        <w:tc>
          <w:tcPr>
            <w:tcW w:w="7366" w:type="dxa"/>
          </w:tcPr>
          <w:p w14:paraId="176E60FB" w14:textId="2C79A831"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2.3. Ciljne grupe i krajnji korisnici: </w:t>
            </w:r>
            <w:r w:rsidR="00C84476" w:rsidRPr="007546E5">
              <w:rPr>
                <w:rFonts w:ascii="Times New Roman" w:hAnsi="Times New Roman" w:cs="Times New Roman"/>
              </w:rPr>
              <w:t xml:space="preserve">Koliko su jasno definisane i strateški odabrane ciljne grupe i krajnji korisnici? Da li su njihove potrebe (kao nosilaca prava i/ili nosilaca obaveza) i ograničenja jasno definisani? Da li se </w:t>
            </w:r>
            <w:r w:rsidR="002832D2" w:rsidRPr="007546E5">
              <w:rPr>
                <w:rFonts w:ascii="Times New Roman" w:hAnsi="Times New Roman" w:cs="Times New Roman"/>
              </w:rPr>
              <w:t>prijedlog</w:t>
            </w:r>
            <w:r w:rsidR="00C84476" w:rsidRPr="007546E5">
              <w:rPr>
                <w:rFonts w:ascii="Times New Roman" w:hAnsi="Times New Roman" w:cs="Times New Roman"/>
              </w:rPr>
              <w:t xml:space="preserve"> adekvatno bavi tim potrebama i ograničenjima?</w:t>
            </w:r>
          </w:p>
        </w:tc>
        <w:tc>
          <w:tcPr>
            <w:tcW w:w="1650" w:type="dxa"/>
          </w:tcPr>
          <w:p w14:paraId="008B2E7E"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15AD4E0E" w14:textId="77777777" w:rsidTr="00643B19">
        <w:tc>
          <w:tcPr>
            <w:tcW w:w="7366" w:type="dxa"/>
          </w:tcPr>
          <w:p w14:paraId="232787BD" w14:textId="6624FF3B"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2.4. Elementi dodatne vrijednosti: </w:t>
            </w:r>
            <w:r w:rsidR="00C84476" w:rsidRPr="007546E5">
              <w:rPr>
                <w:rFonts w:ascii="Times New Roman" w:hAnsi="Times New Roman" w:cs="Times New Roman"/>
              </w:rPr>
              <w:t xml:space="preserve">Da li </w:t>
            </w:r>
            <w:r w:rsidR="002832D2" w:rsidRPr="007546E5">
              <w:rPr>
                <w:rFonts w:ascii="Times New Roman" w:hAnsi="Times New Roman" w:cs="Times New Roman"/>
              </w:rPr>
              <w:t>prijedlog</w:t>
            </w:r>
            <w:r w:rsidR="00C84476" w:rsidRPr="007546E5">
              <w:rPr>
                <w:rFonts w:ascii="Times New Roman" w:hAnsi="Times New Roman" w:cs="Times New Roman"/>
              </w:rPr>
              <w:t xml:space="preserve"> sadrži specifične elemente dodatne vrijednosti (npr. inovacije, najbolje prakse)? [kao i druge dodatne elemente navedene u odjeljku 1.2 </w:t>
            </w:r>
            <w:r w:rsidR="00541FBC">
              <w:rPr>
                <w:rFonts w:ascii="Times New Roman" w:hAnsi="Times New Roman" w:cs="Times New Roman"/>
              </w:rPr>
              <w:t>s</w:t>
            </w:r>
            <w:r w:rsidR="00C84476" w:rsidRPr="007546E5">
              <w:rPr>
                <w:rFonts w:ascii="Times New Roman" w:hAnsi="Times New Roman" w:cs="Times New Roman"/>
              </w:rPr>
              <w:t>mjernica za podnosioce prijava]</w:t>
            </w:r>
          </w:p>
        </w:tc>
        <w:tc>
          <w:tcPr>
            <w:tcW w:w="1650" w:type="dxa"/>
          </w:tcPr>
          <w:p w14:paraId="3E8F2C8F"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3ADA4A53" w14:textId="77777777" w:rsidTr="00643B19">
        <w:tc>
          <w:tcPr>
            <w:tcW w:w="7366" w:type="dxa"/>
            <w:shd w:val="clear" w:color="auto" w:fill="D9D9D9" w:themeFill="background1" w:themeFillShade="D9"/>
          </w:tcPr>
          <w:p w14:paraId="34983C57" w14:textId="77777777" w:rsidR="00643B19" w:rsidRPr="007546E5" w:rsidRDefault="00643B19" w:rsidP="00C84476">
            <w:pPr>
              <w:jc w:val="both"/>
              <w:rPr>
                <w:rFonts w:ascii="Times New Roman" w:hAnsi="Times New Roman" w:cs="Times New Roman"/>
                <w:b/>
              </w:rPr>
            </w:pPr>
            <w:r w:rsidRPr="007546E5">
              <w:rPr>
                <w:rFonts w:ascii="Times New Roman" w:hAnsi="Times New Roman" w:cs="Times New Roman"/>
                <w:b/>
              </w:rPr>
              <w:t>3. Dizajn akcije</w:t>
            </w:r>
          </w:p>
        </w:tc>
        <w:tc>
          <w:tcPr>
            <w:tcW w:w="1650" w:type="dxa"/>
            <w:shd w:val="clear" w:color="auto" w:fill="D9D9D9" w:themeFill="background1" w:themeFillShade="D9"/>
          </w:tcPr>
          <w:p w14:paraId="4F4F937F" w14:textId="77777777" w:rsidR="00643B19" w:rsidRPr="007546E5" w:rsidRDefault="00643B19" w:rsidP="00643B19">
            <w:pPr>
              <w:jc w:val="center"/>
              <w:rPr>
                <w:rFonts w:ascii="Times New Roman" w:hAnsi="Times New Roman" w:cs="Times New Roman"/>
                <w:b/>
              </w:rPr>
            </w:pPr>
            <w:r w:rsidRPr="007546E5">
              <w:rPr>
                <w:rFonts w:ascii="Times New Roman" w:hAnsi="Times New Roman" w:cs="Times New Roman"/>
                <w:b/>
              </w:rPr>
              <w:t>15</w:t>
            </w:r>
          </w:p>
        </w:tc>
      </w:tr>
      <w:tr w:rsidR="00643B19" w:rsidRPr="007546E5" w14:paraId="1EDF9C23" w14:textId="77777777" w:rsidTr="00643B19">
        <w:tc>
          <w:tcPr>
            <w:tcW w:w="7366" w:type="dxa"/>
          </w:tcPr>
          <w:p w14:paraId="63622E2A" w14:textId="2121D741"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3.1. Logika intervencije: </w:t>
            </w:r>
            <w:r w:rsidR="00C84476" w:rsidRPr="007546E5">
              <w:rPr>
                <w:rFonts w:ascii="Times New Roman" w:hAnsi="Times New Roman" w:cs="Times New Roman"/>
              </w:rPr>
              <w:t xml:space="preserve">Da li </w:t>
            </w:r>
            <w:r w:rsidR="002832D2" w:rsidRPr="007546E5">
              <w:rPr>
                <w:rFonts w:ascii="Times New Roman" w:hAnsi="Times New Roman" w:cs="Times New Roman"/>
              </w:rPr>
              <w:t>prijedlog</w:t>
            </w:r>
            <w:r w:rsidR="00C84476" w:rsidRPr="007546E5">
              <w:rPr>
                <w:rFonts w:ascii="Times New Roman" w:hAnsi="Times New Roman" w:cs="Times New Roman"/>
              </w:rPr>
              <w:t xml:space="preserve"> jasno navodi očekivane rezultate (izlaze/ishode/uticaj) koje akcija treba da ostvari? Da li dizajn predložene akcije jasno identifikuje potrebnu sekvencu za postizanje željenih ciljeva, počev od inputa, preko aktivnosti i izlaza, do ishoda i konačnog uticaja? Da li je indikativna lista aktivnosti povezana i usklađena sa očekivanim izlazima?</w:t>
            </w:r>
          </w:p>
        </w:tc>
        <w:tc>
          <w:tcPr>
            <w:tcW w:w="1650" w:type="dxa"/>
          </w:tcPr>
          <w:p w14:paraId="4891DD32"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0FC6CB71" w14:textId="77777777" w:rsidTr="00643B19">
        <w:tc>
          <w:tcPr>
            <w:tcW w:w="7366" w:type="dxa"/>
          </w:tcPr>
          <w:p w14:paraId="03759D72" w14:textId="308651CD"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3.2. Matrica logičkog okvira: </w:t>
            </w:r>
            <w:r w:rsidR="00C84476" w:rsidRPr="007546E5">
              <w:rPr>
                <w:rFonts w:ascii="Times New Roman" w:hAnsi="Times New Roman" w:cs="Times New Roman"/>
              </w:rPr>
              <w:t xml:space="preserve">Da li je logički okvir dostavljen u Aneksu C potpun? Da li svaki rezultat (izlaz, ishod, uticaj) sadrži odgovarajući broj indikatora dovoljnog obuhvata za mjerenje njegovog ostvarenja? Da li je svaki indikator RACER (relevantan, prihvaćen, vjerodostojan, lak za praćenje, robustan)? Da li svaki indikator ima početnu vrijednost (sa godinom), ciljnu vrijednost (sa godinom) i vjerodostojan izvor podataka? Ako početne i ciljne vrijednosti nijesu dostupne, da li je to obrazloženo i da li je u </w:t>
            </w:r>
            <w:r w:rsidR="002832D2" w:rsidRPr="007546E5">
              <w:rPr>
                <w:rFonts w:ascii="Times New Roman" w:hAnsi="Times New Roman" w:cs="Times New Roman"/>
              </w:rPr>
              <w:t>prijedlog</w:t>
            </w:r>
            <w:r w:rsidR="00C84476" w:rsidRPr="007546E5">
              <w:rPr>
                <w:rFonts w:ascii="Times New Roman" w:hAnsi="Times New Roman" w:cs="Times New Roman"/>
              </w:rPr>
              <w:t>u predviđena i budžetirana studija (ili drugi odgovarajući alati)? U slučaju korišćenja FNLC-a, da li su FNLC rezultati i indikatori jasno označeni?</w:t>
            </w:r>
          </w:p>
        </w:tc>
        <w:tc>
          <w:tcPr>
            <w:tcW w:w="1650" w:type="dxa"/>
          </w:tcPr>
          <w:p w14:paraId="5225D0C4"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13BAC74E" w14:textId="77777777" w:rsidTr="00643B19">
        <w:tc>
          <w:tcPr>
            <w:tcW w:w="7366" w:type="dxa"/>
          </w:tcPr>
          <w:p w14:paraId="58777887" w14:textId="42589116"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3.3. Analiza konteksta: </w:t>
            </w:r>
            <w:r w:rsidR="00C84476" w:rsidRPr="007546E5">
              <w:rPr>
                <w:rFonts w:ascii="Times New Roman" w:hAnsi="Times New Roman" w:cs="Times New Roman"/>
              </w:rPr>
              <w:t>Da li dizajn akcije uključuje temeljnu analizu potreba koje treba adresirati, uključujući kapacitete relevantnih aktera? Da li su ti elementi adekvatno integrisani u logiku intervencije?</w:t>
            </w:r>
          </w:p>
        </w:tc>
        <w:tc>
          <w:tcPr>
            <w:tcW w:w="1650" w:type="dxa"/>
          </w:tcPr>
          <w:p w14:paraId="7A57C202"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52E49F69" w14:textId="77777777" w:rsidTr="00643B19">
        <w:tc>
          <w:tcPr>
            <w:tcW w:w="7366" w:type="dxa"/>
            <w:shd w:val="clear" w:color="auto" w:fill="D9D9D9" w:themeFill="background1" w:themeFillShade="D9"/>
          </w:tcPr>
          <w:p w14:paraId="7F7CC97C" w14:textId="77777777" w:rsidR="00643B19" w:rsidRPr="007546E5" w:rsidRDefault="00643B19" w:rsidP="00C84476">
            <w:pPr>
              <w:jc w:val="both"/>
              <w:rPr>
                <w:rFonts w:ascii="Times New Roman" w:hAnsi="Times New Roman" w:cs="Times New Roman"/>
                <w:b/>
              </w:rPr>
            </w:pPr>
            <w:r w:rsidRPr="007546E5">
              <w:rPr>
                <w:rFonts w:ascii="Times New Roman" w:hAnsi="Times New Roman" w:cs="Times New Roman"/>
                <w:b/>
              </w:rPr>
              <w:t>4. Pristup sprovođenju</w:t>
            </w:r>
          </w:p>
        </w:tc>
        <w:tc>
          <w:tcPr>
            <w:tcW w:w="1650" w:type="dxa"/>
            <w:shd w:val="clear" w:color="auto" w:fill="D9D9D9" w:themeFill="background1" w:themeFillShade="D9"/>
          </w:tcPr>
          <w:p w14:paraId="714A8531" w14:textId="77777777" w:rsidR="00643B19" w:rsidRPr="007546E5" w:rsidRDefault="00643B19" w:rsidP="00643B19">
            <w:pPr>
              <w:jc w:val="center"/>
              <w:rPr>
                <w:rFonts w:ascii="Times New Roman" w:hAnsi="Times New Roman" w:cs="Times New Roman"/>
                <w:b/>
              </w:rPr>
            </w:pPr>
            <w:r w:rsidRPr="007546E5">
              <w:rPr>
                <w:rFonts w:ascii="Times New Roman" w:hAnsi="Times New Roman" w:cs="Times New Roman"/>
                <w:b/>
              </w:rPr>
              <w:t>15</w:t>
            </w:r>
          </w:p>
        </w:tc>
      </w:tr>
      <w:tr w:rsidR="00643B19" w:rsidRPr="007546E5" w14:paraId="389EA08F" w14:textId="77777777" w:rsidTr="00643B19">
        <w:tc>
          <w:tcPr>
            <w:tcW w:w="7366" w:type="dxa"/>
          </w:tcPr>
          <w:p w14:paraId="27C46DAA" w14:textId="3C3E5455"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4.1. Plan akcije: </w:t>
            </w:r>
            <w:r w:rsidR="00C84476" w:rsidRPr="007546E5">
              <w:rPr>
                <w:rFonts w:ascii="Times New Roman" w:hAnsi="Times New Roman" w:cs="Times New Roman"/>
              </w:rPr>
              <w:t>Da li je plan sprovođenja akcije jasan i izvodljiv? Da li su vrste aktivnosti jasno grupisane po izlazima u Matrici aktivnosti? Da li je vremenski okvir realističan?</w:t>
            </w:r>
          </w:p>
        </w:tc>
        <w:tc>
          <w:tcPr>
            <w:tcW w:w="1650" w:type="dxa"/>
          </w:tcPr>
          <w:p w14:paraId="35AFE987"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6503887A" w14:textId="77777777" w:rsidTr="00643B19">
        <w:tc>
          <w:tcPr>
            <w:tcW w:w="7366" w:type="dxa"/>
          </w:tcPr>
          <w:p w14:paraId="3882507C" w14:textId="24D8665B"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4.2. Praćenje i evaluacija: </w:t>
            </w:r>
            <w:r w:rsidR="00C84476" w:rsidRPr="007546E5">
              <w:rPr>
                <w:rFonts w:ascii="Times New Roman" w:hAnsi="Times New Roman" w:cs="Times New Roman"/>
              </w:rPr>
              <w:t xml:space="preserve">Da li </w:t>
            </w:r>
            <w:r w:rsidR="002832D2" w:rsidRPr="007546E5">
              <w:rPr>
                <w:rFonts w:ascii="Times New Roman" w:hAnsi="Times New Roman" w:cs="Times New Roman"/>
              </w:rPr>
              <w:t>prijedlog</w:t>
            </w:r>
            <w:r w:rsidR="00C84476" w:rsidRPr="007546E5">
              <w:rPr>
                <w:rFonts w:ascii="Times New Roman" w:hAnsi="Times New Roman" w:cs="Times New Roman"/>
              </w:rPr>
              <w:t xml:space="preserve"> uključuje djelotvoran i efikasan sistem praćenja i izvještavanja? Da li je uspostavljeni sistem adekvatan za ažuriranje vrijednosti indikatora uključenih u Matricu logičkog okvira, čime se redovno informiše o napretku ka ostvarivanju uticaja, ishoda i izlaza? Da li je planirana i </w:t>
            </w:r>
            <w:r w:rsidR="00C84476" w:rsidRPr="007546E5">
              <w:rPr>
                <w:rFonts w:ascii="Times New Roman" w:hAnsi="Times New Roman" w:cs="Times New Roman"/>
              </w:rPr>
              <w:lastRenderedPageBreak/>
              <w:t>budžetirana evaluacija (prije, tokom i/ili na kraju sprovođenja)? Ako je relevantno, da li je uključena uloga procjenjivača treće strane?</w:t>
            </w:r>
          </w:p>
        </w:tc>
        <w:tc>
          <w:tcPr>
            <w:tcW w:w="1650" w:type="dxa"/>
          </w:tcPr>
          <w:p w14:paraId="7A568A46"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lastRenderedPageBreak/>
              <w:t>5</w:t>
            </w:r>
          </w:p>
        </w:tc>
      </w:tr>
      <w:tr w:rsidR="00643B19" w:rsidRPr="007546E5" w14:paraId="2FEBEEE4" w14:textId="77777777" w:rsidTr="00643B19">
        <w:tc>
          <w:tcPr>
            <w:tcW w:w="7366" w:type="dxa"/>
          </w:tcPr>
          <w:p w14:paraId="5397A3A2" w14:textId="04ACBBF9" w:rsidR="00643B19" w:rsidRPr="007546E5" w:rsidRDefault="00643B19" w:rsidP="00C84476">
            <w:pPr>
              <w:jc w:val="both"/>
              <w:rPr>
                <w:rFonts w:ascii="Times New Roman" w:hAnsi="Times New Roman" w:cs="Times New Roman"/>
              </w:rPr>
            </w:pPr>
            <w:r w:rsidRPr="007546E5">
              <w:rPr>
                <w:rFonts w:ascii="Times New Roman" w:hAnsi="Times New Roman" w:cs="Times New Roman"/>
              </w:rPr>
              <w:t>4.3. Upravljanje projektom</w:t>
            </w:r>
            <w:r w:rsidR="00C84476" w:rsidRPr="007546E5">
              <w:rPr>
                <w:rFonts w:ascii="Times New Roman" w:hAnsi="Times New Roman" w:cs="Times New Roman"/>
              </w:rPr>
              <w:t xml:space="preserve"> (tehnički aspekt): Da li su su-podnosioci prijave i, gdje je primjenjivo, njihovi povezani subjekti dovoljno uključeni u sprovođenje (npr. zagovaranje, istraživanje, jačanje kapaciteta, aktivnosti dosega)? Da li imaju potrebne tehničke vještine za ostvarivanje ciljeva akcije?</w:t>
            </w:r>
          </w:p>
        </w:tc>
        <w:tc>
          <w:tcPr>
            <w:tcW w:w="1650" w:type="dxa"/>
          </w:tcPr>
          <w:p w14:paraId="7B6D6C98"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71123F0A" w14:textId="77777777" w:rsidTr="00643B19">
        <w:tc>
          <w:tcPr>
            <w:tcW w:w="7366" w:type="dxa"/>
            <w:shd w:val="clear" w:color="auto" w:fill="D9D9D9" w:themeFill="background1" w:themeFillShade="D9"/>
          </w:tcPr>
          <w:p w14:paraId="09387B6C" w14:textId="77777777" w:rsidR="00643B19" w:rsidRPr="007546E5" w:rsidRDefault="00643B19" w:rsidP="00C84476">
            <w:pPr>
              <w:jc w:val="both"/>
              <w:rPr>
                <w:rFonts w:ascii="Times New Roman" w:hAnsi="Times New Roman" w:cs="Times New Roman"/>
                <w:b/>
              </w:rPr>
            </w:pPr>
            <w:r w:rsidRPr="007546E5">
              <w:rPr>
                <w:rFonts w:ascii="Times New Roman" w:hAnsi="Times New Roman" w:cs="Times New Roman"/>
                <w:b/>
              </w:rPr>
              <w:t>5. Održivost akcije</w:t>
            </w:r>
          </w:p>
        </w:tc>
        <w:tc>
          <w:tcPr>
            <w:tcW w:w="1650" w:type="dxa"/>
            <w:shd w:val="clear" w:color="auto" w:fill="D9D9D9" w:themeFill="background1" w:themeFillShade="D9"/>
          </w:tcPr>
          <w:p w14:paraId="56E38280" w14:textId="77777777" w:rsidR="00643B19" w:rsidRPr="007546E5" w:rsidRDefault="00643B19" w:rsidP="00643B19">
            <w:pPr>
              <w:jc w:val="center"/>
              <w:rPr>
                <w:rFonts w:ascii="Times New Roman" w:hAnsi="Times New Roman" w:cs="Times New Roman"/>
                <w:b/>
              </w:rPr>
            </w:pPr>
            <w:r w:rsidRPr="007546E5">
              <w:rPr>
                <w:rFonts w:ascii="Times New Roman" w:hAnsi="Times New Roman" w:cs="Times New Roman"/>
                <w:b/>
              </w:rPr>
              <w:t>15</w:t>
            </w:r>
          </w:p>
        </w:tc>
      </w:tr>
      <w:tr w:rsidR="00643B19" w:rsidRPr="007546E5" w14:paraId="7FF9761E" w14:textId="77777777" w:rsidTr="00643B19">
        <w:tc>
          <w:tcPr>
            <w:tcW w:w="7366" w:type="dxa"/>
          </w:tcPr>
          <w:p w14:paraId="64095AF7" w14:textId="2F37F6EA"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5.1. Dugoročne koristi: </w:t>
            </w:r>
            <w:r w:rsidR="00C84476" w:rsidRPr="007546E5">
              <w:rPr>
                <w:rFonts w:ascii="Times New Roman" w:hAnsi="Times New Roman" w:cs="Times New Roman"/>
              </w:rPr>
              <w:t>Da li će akcija vjerovatno obezbijediti dugotrajne i transformativne koristi za ciljne grupe i krajnje korisnike?</w:t>
            </w:r>
          </w:p>
        </w:tc>
        <w:tc>
          <w:tcPr>
            <w:tcW w:w="1650" w:type="dxa"/>
          </w:tcPr>
          <w:p w14:paraId="55F3AB24"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3D68BA8E" w14:textId="77777777" w:rsidTr="00643B19">
        <w:tc>
          <w:tcPr>
            <w:tcW w:w="7366" w:type="dxa"/>
          </w:tcPr>
          <w:p w14:paraId="20354846" w14:textId="7D3ADE33"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5.2. Multiplikativni efekti: </w:t>
            </w:r>
            <w:r w:rsidR="00C84476" w:rsidRPr="007546E5">
              <w:rPr>
                <w:rFonts w:ascii="Times New Roman" w:hAnsi="Times New Roman" w:cs="Times New Roman"/>
              </w:rPr>
              <w:t>Da li će akcija vjerovatno imati multiplikativne efekte, uključujući mogućnosti za replikaciju, proširenje, unakrsno prenošenje iskustava i razmjenu znanja?</w:t>
            </w:r>
          </w:p>
        </w:tc>
        <w:tc>
          <w:tcPr>
            <w:tcW w:w="1650" w:type="dxa"/>
          </w:tcPr>
          <w:p w14:paraId="37226425"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28626D9B" w14:textId="77777777" w:rsidTr="00643B19">
        <w:tc>
          <w:tcPr>
            <w:tcW w:w="7366" w:type="dxa"/>
          </w:tcPr>
          <w:p w14:paraId="75C9AEA0" w14:textId="0B844B42"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5.3. Održivost: </w:t>
            </w:r>
            <w:r w:rsidR="00C84476" w:rsidRPr="007546E5">
              <w:rPr>
                <w:rFonts w:ascii="Times New Roman" w:hAnsi="Times New Roman" w:cs="Times New Roman"/>
              </w:rPr>
              <w:t>Kolika je vjerovatnoća da će efekti trajati nakon završetka intervencije? – Finansijska održivost: koji su finansijski resursi dostupni za nastavak usluga koje intervencija obezbjeđuje? Koliko dugo će vjerovatno biti dostupni i iz kojih izvora? – Institucionalna održivost: koji institucionalni aranžmani omogućavaju održavanje postignutih koristi? Da li postoje mjere za obezbjeđivanje lokalnog vlasništva? – Održivost na nivou politika (gdje je primjenjivo): da li se očekuje neki efekat akcije na politike, npr. unaprijeđeno zakonodavstvo, kodeksi ponašanja, metode? – Ekološka održivost (gdje je primjenjivo): da li će akcija imati negativan/pozitivan uticaj na životnu sredinu? – Analiza rizika i mjere ublažavanja: da li će akcija biti praćena kvalitetnom analizom rizika (uključujući fizičke, ekološke, političke, ekonomske i društvene rizike) i odgovarajućim mjerama ublažavanja?</w:t>
            </w:r>
          </w:p>
        </w:tc>
        <w:tc>
          <w:tcPr>
            <w:tcW w:w="1650" w:type="dxa"/>
          </w:tcPr>
          <w:p w14:paraId="553D368C"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16F90350" w14:textId="77777777" w:rsidTr="00643B19">
        <w:tc>
          <w:tcPr>
            <w:tcW w:w="7366" w:type="dxa"/>
            <w:shd w:val="clear" w:color="auto" w:fill="D9D9D9" w:themeFill="background1" w:themeFillShade="D9"/>
          </w:tcPr>
          <w:p w14:paraId="6313977E" w14:textId="77777777" w:rsidR="00643B19" w:rsidRPr="007546E5" w:rsidRDefault="00643B19" w:rsidP="00C84476">
            <w:pPr>
              <w:jc w:val="both"/>
              <w:rPr>
                <w:rFonts w:ascii="Times New Roman" w:hAnsi="Times New Roman" w:cs="Times New Roman"/>
                <w:b/>
              </w:rPr>
            </w:pPr>
            <w:r w:rsidRPr="007546E5">
              <w:rPr>
                <w:rFonts w:ascii="Times New Roman" w:hAnsi="Times New Roman" w:cs="Times New Roman"/>
                <w:b/>
              </w:rPr>
              <w:t>6. Budžet i troškovna efikasnost akcije</w:t>
            </w:r>
          </w:p>
        </w:tc>
        <w:tc>
          <w:tcPr>
            <w:tcW w:w="1650" w:type="dxa"/>
            <w:shd w:val="clear" w:color="auto" w:fill="D9D9D9" w:themeFill="background1" w:themeFillShade="D9"/>
          </w:tcPr>
          <w:p w14:paraId="01A7A1DB" w14:textId="77777777" w:rsidR="00643B19" w:rsidRPr="007546E5" w:rsidRDefault="00643B19" w:rsidP="00643B19">
            <w:pPr>
              <w:jc w:val="center"/>
              <w:rPr>
                <w:rFonts w:ascii="Times New Roman" w:hAnsi="Times New Roman" w:cs="Times New Roman"/>
                <w:b/>
              </w:rPr>
            </w:pPr>
            <w:r w:rsidRPr="007546E5">
              <w:rPr>
                <w:rFonts w:ascii="Times New Roman" w:hAnsi="Times New Roman" w:cs="Times New Roman"/>
                <w:b/>
              </w:rPr>
              <w:t>15</w:t>
            </w:r>
          </w:p>
        </w:tc>
      </w:tr>
      <w:tr w:rsidR="00643B19" w:rsidRPr="007546E5" w14:paraId="25D6DD56" w14:textId="77777777" w:rsidTr="00643B19">
        <w:tc>
          <w:tcPr>
            <w:tcW w:w="7366" w:type="dxa"/>
          </w:tcPr>
          <w:p w14:paraId="6A00C2BE" w14:textId="671F20BE"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6.1. Budžet: </w:t>
            </w:r>
            <w:r w:rsidR="00C84476" w:rsidRPr="007546E5">
              <w:rPr>
                <w:rFonts w:ascii="Times New Roman" w:hAnsi="Times New Roman" w:cs="Times New Roman"/>
              </w:rPr>
              <w:t>Da li su aktivnosti na odgovarajući način prikazane u budžetu? U slučaju potpune ili djelimične upotrebe finansiranja koje nije povezano sa troškovima, da li su rezultati i indikatori učinka adekvatno odraženi u budžetu?</w:t>
            </w:r>
          </w:p>
        </w:tc>
        <w:tc>
          <w:tcPr>
            <w:tcW w:w="1650" w:type="dxa"/>
          </w:tcPr>
          <w:p w14:paraId="3A3BDE95" w14:textId="77777777"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w:t>
            </w:r>
          </w:p>
        </w:tc>
      </w:tr>
      <w:tr w:rsidR="00643B19" w:rsidRPr="007546E5" w14:paraId="5AA448CA" w14:textId="77777777" w:rsidTr="00643B19">
        <w:tc>
          <w:tcPr>
            <w:tcW w:w="7366" w:type="dxa"/>
          </w:tcPr>
          <w:p w14:paraId="3EF5F29A" w14:textId="2E7496F8" w:rsidR="00643B19" w:rsidRPr="007546E5" w:rsidRDefault="00643B19" w:rsidP="00C84476">
            <w:pPr>
              <w:jc w:val="both"/>
              <w:rPr>
                <w:rFonts w:ascii="Times New Roman" w:hAnsi="Times New Roman" w:cs="Times New Roman"/>
              </w:rPr>
            </w:pPr>
            <w:r w:rsidRPr="007546E5">
              <w:rPr>
                <w:rFonts w:ascii="Times New Roman" w:hAnsi="Times New Roman" w:cs="Times New Roman"/>
              </w:rPr>
              <w:t xml:space="preserve">6.2. Efikasnost: </w:t>
            </w:r>
            <w:r w:rsidR="00C84476" w:rsidRPr="007546E5">
              <w:rPr>
                <w:rFonts w:ascii="Times New Roman" w:hAnsi="Times New Roman" w:cs="Times New Roman"/>
              </w:rPr>
              <w:t>Da li je odnos između procijenjenih iznosa iz budžeta i očekivanih rezultata odgovarajući?</w:t>
            </w:r>
          </w:p>
        </w:tc>
        <w:tc>
          <w:tcPr>
            <w:tcW w:w="1650" w:type="dxa"/>
          </w:tcPr>
          <w:p w14:paraId="7C68C6EC" w14:textId="4540CBDF" w:rsidR="00643B19" w:rsidRPr="007546E5" w:rsidRDefault="00643B19" w:rsidP="00643B19">
            <w:pPr>
              <w:jc w:val="center"/>
              <w:rPr>
                <w:rFonts w:ascii="Times New Roman" w:hAnsi="Times New Roman" w:cs="Times New Roman"/>
              </w:rPr>
            </w:pPr>
            <w:r w:rsidRPr="007546E5">
              <w:rPr>
                <w:rFonts w:ascii="Times New Roman" w:hAnsi="Times New Roman" w:cs="Times New Roman"/>
              </w:rPr>
              <w:t>5x2</w:t>
            </w:r>
            <w:r w:rsidR="00815304">
              <w:rPr>
                <w:rFonts w:ascii="Times New Roman" w:hAnsi="Times New Roman" w:cs="Times New Roman"/>
              </w:rPr>
              <w:t>**</w:t>
            </w:r>
          </w:p>
        </w:tc>
      </w:tr>
      <w:tr w:rsidR="00643B19" w:rsidRPr="007546E5" w14:paraId="314778AA" w14:textId="77777777" w:rsidTr="00643B19">
        <w:tc>
          <w:tcPr>
            <w:tcW w:w="7366" w:type="dxa"/>
            <w:shd w:val="clear" w:color="auto" w:fill="D9D9D9" w:themeFill="background1" w:themeFillShade="D9"/>
          </w:tcPr>
          <w:p w14:paraId="6B894D5D" w14:textId="77777777" w:rsidR="00643B19" w:rsidRPr="007546E5" w:rsidRDefault="00643B19" w:rsidP="00EF2510">
            <w:pPr>
              <w:rPr>
                <w:rFonts w:ascii="Times New Roman" w:hAnsi="Times New Roman" w:cs="Times New Roman"/>
                <w:b/>
              </w:rPr>
            </w:pPr>
            <w:r w:rsidRPr="007546E5">
              <w:rPr>
                <w:rFonts w:ascii="Times New Roman" w:hAnsi="Times New Roman" w:cs="Times New Roman"/>
                <w:b/>
              </w:rPr>
              <w:t>Ukupan maksimalni broj bodova</w:t>
            </w:r>
          </w:p>
        </w:tc>
        <w:tc>
          <w:tcPr>
            <w:tcW w:w="1650" w:type="dxa"/>
            <w:shd w:val="clear" w:color="auto" w:fill="D9D9D9" w:themeFill="background1" w:themeFillShade="D9"/>
          </w:tcPr>
          <w:p w14:paraId="0D69DCC7" w14:textId="77777777" w:rsidR="00643B19" w:rsidRPr="007546E5" w:rsidRDefault="00643B19" w:rsidP="00643B19">
            <w:pPr>
              <w:jc w:val="center"/>
              <w:rPr>
                <w:rFonts w:ascii="Times New Roman" w:hAnsi="Times New Roman" w:cs="Times New Roman"/>
                <w:b/>
              </w:rPr>
            </w:pPr>
            <w:r w:rsidRPr="007546E5">
              <w:rPr>
                <w:rFonts w:ascii="Times New Roman" w:hAnsi="Times New Roman" w:cs="Times New Roman"/>
                <w:b/>
              </w:rPr>
              <w:t>100</w:t>
            </w:r>
          </w:p>
        </w:tc>
      </w:tr>
    </w:tbl>
    <w:p w14:paraId="3F940D49" w14:textId="77777777" w:rsidR="00FB21F1" w:rsidRPr="007546E5" w:rsidRDefault="00FB21F1" w:rsidP="00FB21F1">
      <w:pPr>
        <w:pStyle w:val="NormalWeb"/>
        <w:rPr>
          <w:sz w:val="22"/>
          <w:szCs w:val="22"/>
          <w:lang w:val="sr-Latn-ME"/>
        </w:rPr>
      </w:pPr>
      <w:r w:rsidRPr="007546E5">
        <w:rPr>
          <w:sz w:val="22"/>
          <w:szCs w:val="22"/>
          <w:lang w:val="sr-Latn-ME"/>
        </w:rPr>
        <w:t xml:space="preserve">** </w:t>
      </w:r>
      <w:r w:rsidRPr="007546E5">
        <w:rPr>
          <w:rStyle w:val="Strong"/>
          <w:sz w:val="22"/>
          <w:szCs w:val="22"/>
          <w:lang w:val="sr-Latn-ME"/>
        </w:rPr>
        <w:t>: ovaj broj bodova se množi sa 2 zbog njegove važnosti</w:t>
      </w:r>
    </w:p>
    <w:p w14:paraId="2DCE927F" w14:textId="77777777" w:rsidR="00FB21F1" w:rsidRPr="007546E5" w:rsidRDefault="00FB21F1" w:rsidP="00FB21F1">
      <w:pPr>
        <w:pStyle w:val="NormalWeb"/>
        <w:jc w:val="both"/>
        <w:rPr>
          <w:sz w:val="22"/>
          <w:szCs w:val="22"/>
          <w:lang w:val="sr-Latn-ME"/>
        </w:rPr>
      </w:pPr>
      <w:r w:rsidRPr="007546E5">
        <w:rPr>
          <w:sz w:val="22"/>
          <w:szCs w:val="22"/>
          <w:lang w:val="sr-Latn-ME"/>
        </w:rPr>
        <w:t>Ukoliko je ukupan broj bodova za Sekciju 1 (finansijski i operativni kapacitet) manji od 12 bodova, prijava će biti odbijena. Ukoliko je ocjena za najmanje jednu od potsekcija u okviru Sekcije 1 jednaka 1, prijava će takođe biti odbijena.</w:t>
      </w:r>
    </w:p>
    <w:p w14:paraId="15282A06" w14:textId="761D0B3F" w:rsidR="00FB21F1" w:rsidRPr="007546E5" w:rsidRDefault="00FB21F1" w:rsidP="00FB21F1">
      <w:pPr>
        <w:pStyle w:val="NormalWeb"/>
        <w:jc w:val="both"/>
        <w:rPr>
          <w:sz w:val="22"/>
          <w:szCs w:val="22"/>
          <w:lang w:val="sr-Latn-ME"/>
        </w:rPr>
      </w:pPr>
      <w:r w:rsidRPr="007546E5">
        <w:rPr>
          <w:sz w:val="22"/>
          <w:szCs w:val="22"/>
          <w:lang w:val="sr-Latn-ME"/>
        </w:rPr>
        <w:t>Ukoliko vodeći podnosilac prijave podnosi prijavu bez su-podnosilaca ili povezanih subjekata, ocjena za tačku 4.3 iznosiće 5, osim ako je uključivanje su-podnosilaca ili povezanih subjekata obavezno u skladu sa ovim Smjernicama za podnosioce prijava.</w:t>
      </w:r>
    </w:p>
    <w:p w14:paraId="40E0F55B" w14:textId="77777777" w:rsidR="00FB21F1" w:rsidRPr="007546E5" w:rsidRDefault="00FB21F1" w:rsidP="00FB21F1">
      <w:pPr>
        <w:pStyle w:val="Heading3"/>
        <w:rPr>
          <w:rFonts w:ascii="Times New Roman" w:hAnsi="Times New Roman" w:cs="Times New Roman"/>
          <w:b/>
          <w:i/>
          <w:color w:val="auto"/>
          <w:sz w:val="22"/>
          <w:szCs w:val="22"/>
        </w:rPr>
      </w:pPr>
      <w:r w:rsidRPr="007546E5">
        <w:rPr>
          <w:rStyle w:val="Strong"/>
          <w:rFonts w:ascii="Times New Roman" w:hAnsi="Times New Roman" w:cs="Times New Roman"/>
          <w:b w:val="0"/>
          <w:bCs w:val="0"/>
          <w:i/>
          <w:color w:val="auto"/>
          <w:sz w:val="22"/>
          <w:szCs w:val="22"/>
        </w:rPr>
        <w:t>Privremeni odabir</w:t>
      </w:r>
    </w:p>
    <w:p w14:paraId="1CE43B6F" w14:textId="2AC04A02" w:rsidR="00FB21F1" w:rsidRPr="007546E5" w:rsidRDefault="00FB21F1" w:rsidP="00FB21F1">
      <w:pPr>
        <w:pStyle w:val="NormalWeb"/>
        <w:jc w:val="both"/>
        <w:rPr>
          <w:sz w:val="22"/>
          <w:szCs w:val="22"/>
          <w:lang w:val="sr-Latn-ME"/>
        </w:rPr>
      </w:pPr>
      <w:r w:rsidRPr="007546E5">
        <w:rPr>
          <w:sz w:val="22"/>
          <w:szCs w:val="22"/>
          <w:lang w:val="sr-Latn-ME"/>
        </w:rPr>
        <w:t xml:space="preserve">Nakon evaluacije, biće sastavljena tabela sa prijavama rangiranim prema broju bodova. Prijave sa najvećim brojem bodova biće privremeno odabrane sve dok se ne dostigne raspoloživi budžet za ovaj poziv za dostavljanje </w:t>
      </w:r>
      <w:r w:rsidR="002832D2" w:rsidRPr="007546E5">
        <w:rPr>
          <w:sz w:val="22"/>
          <w:szCs w:val="22"/>
          <w:lang w:val="sr-Latn-ME"/>
        </w:rPr>
        <w:t>prijedlog</w:t>
      </w:r>
      <w:r w:rsidRPr="007546E5">
        <w:rPr>
          <w:sz w:val="22"/>
          <w:szCs w:val="22"/>
          <w:lang w:val="sr-Latn-ME"/>
        </w:rPr>
        <w:t>a projekata. Pored toga, biće formirana rezervna lista prema istim kriterijumima. Ova lista će se koristiti ukoliko tokom perioda važenja rezervne liste postanu dostupna dodatna sredstva. Ugovorno tijelo obavještava vodeće podnosioce prijava koji su privremeno odabrani, kao i one koji su uvršteni na rezervnu listu, da će biti predmet konačne provjere prihvatljivosti.</w:t>
      </w:r>
    </w:p>
    <w:p w14:paraId="5960B178" w14:textId="77777777" w:rsidR="006039B2" w:rsidRPr="007546E5" w:rsidRDefault="006039B2" w:rsidP="006039B2">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lastRenderedPageBreak/>
        <w:t>2.3.3. KORAK 3: PROVJERA PRIHVATLJIVOSTI PODNOSILACA PRIJAVA I POVEZANIH SUBJEKATA I DRUGE PRATEĆE DOKUMENTACIJE</w:t>
      </w:r>
    </w:p>
    <w:p w14:paraId="6D85353D" w14:textId="1D9A11D6" w:rsidR="006039B2" w:rsidRPr="007546E5" w:rsidRDefault="006039B2" w:rsidP="006039B2">
      <w:pPr>
        <w:pStyle w:val="NormalWeb"/>
        <w:jc w:val="both"/>
        <w:rPr>
          <w:sz w:val="22"/>
          <w:szCs w:val="22"/>
          <w:lang w:val="sr-Latn-ME"/>
        </w:rPr>
      </w:pPr>
      <w:r w:rsidRPr="007546E5">
        <w:rPr>
          <w:sz w:val="22"/>
          <w:szCs w:val="22"/>
          <w:lang w:val="sr-Latn-ME"/>
        </w:rPr>
        <w:t xml:space="preserve">Provjera prihvatljivosti vršiće se na osnovu prateće dokumentacije koju zahtijeva ugovorno tijelo (vidjeti odjeljak 2.2.1). Po pravilu, ova provjera će se sprovoditi </w:t>
      </w:r>
      <w:r w:rsidRPr="000F5FCD">
        <w:rPr>
          <w:sz w:val="22"/>
          <w:szCs w:val="22"/>
          <w:u w:val="single"/>
          <w:lang w:val="sr-Latn-ME"/>
        </w:rPr>
        <w:t>samo</w:t>
      </w:r>
      <w:r w:rsidRPr="007546E5">
        <w:rPr>
          <w:sz w:val="22"/>
          <w:szCs w:val="22"/>
          <w:lang w:val="sr-Latn-ME"/>
        </w:rPr>
        <w:t xml:space="preserve"> za prijave koje su privremeno odabrane (uključujući i one na rezervnoj listi), u skladu sa njihovim brojem bodova i u okviru raspoloživog budžeta za ovaj poziv za dostavljanje </w:t>
      </w:r>
      <w:r w:rsidR="002832D2" w:rsidRPr="007546E5">
        <w:rPr>
          <w:sz w:val="22"/>
          <w:szCs w:val="22"/>
          <w:lang w:val="sr-Latn-ME"/>
        </w:rPr>
        <w:t>prijedlog</w:t>
      </w:r>
      <w:r w:rsidRPr="007546E5">
        <w:rPr>
          <w:sz w:val="22"/>
          <w:szCs w:val="22"/>
          <w:lang w:val="sr-Latn-ME"/>
        </w:rPr>
        <w:t>a projekata. U tom slučaju:</w:t>
      </w:r>
    </w:p>
    <w:p w14:paraId="2A584D89" w14:textId="77777777" w:rsidR="006039B2" w:rsidRPr="007546E5" w:rsidRDefault="006039B2" w:rsidP="006039B2">
      <w:pPr>
        <w:numPr>
          <w:ilvl w:val="0"/>
          <w:numId w:val="2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Izjava vodećeg podnosioca prijave (odjeljak 5 Aneksa A.2) biće upoređena sa pratećom dokumentacijom koju je dostavio vodeći podnosilac prijave. Svaki nedostajući dokument ili bilo kakva neusklađenost između izjave vodećeg podnosioca prijave i prateće dokumentacije može dovesti do odbijanja prijave isključivo po tom osnovu. </w:t>
      </w:r>
    </w:p>
    <w:p w14:paraId="18A35BA9" w14:textId="77777777" w:rsidR="006039B2" w:rsidRPr="007546E5" w:rsidRDefault="006039B2" w:rsidP="006039B2">
      <w:pPr>
        <w:numPr>
          <w:ilvl w:val="0"/>
          <w:numId w:val="24"/>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Prihvatljivost podnosilaca prijava i povezanih subjekata biće provjerena u skladu sa kriterijumima utvrđenim u odjeljku 2.1.1, uključujući kriterijume isključenja. </w:t>
      </w:r>
    </w:p>
    <w:p w14:paraId="4E002288" w14:textId="77777777" w:rsidR="006039B2" w:rsidRPr="007546E5" w:rsidRDefault="006039B2" w:rsidP="006039B2">
      <w:pPr>
        <w:pStyle w:val="NormalWeb"/>
        <w:jc w:val="both"/>
        <w:rPr>
          <w:sz w:val="22"/>
          <w:szCs w:val="22"/>
          <w:lang w:val="sr-Latn-ME"/>
        </w:rPr>
      </w:pPr>
      <w:r w:rsidRPr="007546E5">
        <w:rPr>
          <w:sz w:val="22"/>
          <w:szCs w:val="22"/>
          <w:lang w:val="sr-Latn-ME"/>
        </w:rPr>
        <w:t>Svaka odbijena prijava biće zamijenjena sljedećom najbolje rangiranom prijavom sa rezervne liste koja se uklapa u raspoloživi budžet za ovaj poziv.</w:t>
      </w:r>
    </w:p>
    <w:p w14:paraId="7639A7D3" w14:textId="77777777" w:rsidR="006039B2" w:rsidRPr="007546E5" w:rsidRDefault="006039B2" w:rsidP="006039B2">
      <w:pPr>
        <w:pStyle w:val="NormalWeb"/>
        <w:jc w:val="both"/>
        <w:rPr>
          <w:sz w:val="22"/>
          <w:szCs w:val="22"/>
          <w:lang w:val="sr-Latn-ME"/>
        </w:rPr>
      </w:pPr>
      <w:r w:rsidRPr="003C6CA5">
        <w:rPr>
          <w:sz w:val="22"/>
          <w:szCs w:val="22"/>
          <w:lang w:val="sr-Latn-ME"/>
        </w:rPr>
        <w:t>U slučaju da evaluacioni odbor nije zadovoljan snagom, stabilnošću i garancijama koje pruža strukturna veza između jednog od podnosilaca prijave i njegovog povezanog subjekta, može zatražiti dostavljanje nedostajuće dokumentacije kako bi se taj subjekt mogao prevesti u status su-podnosioca prijave. Ukoliko se dostavi sva potrebna dokumentacija za su-podnosioca prijave i ako su ispunjeni svi kriterijumi prihvatljivosti, navedeni subjekt postaje su-podnosilac prijave za sve svrhe. Vodeći podnosilac prijave je dužan da u skladu s tim dostavi revidirani obrazac prijave.</w:t>
      </w:r>
    </w:p>
    <w:p w14:paraId="6A1BC240" w14:textId="4E9F714A" w:rsidR="006039B2" w:rsidRPr="007546E5" w:rsidRDefault="006039B2" w:rsidP="006039B2">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2.4. ODLUKA O DODJELI SREDSTAVA</w:t>
      </w:r>
    </w:p>
    <w:p w14:paraId="45F811FA" w14:textId="77777777" w:rsidR="006039B2" w:rsidRPr="007546E5" w:rsidRDefault="006039B2" w:rsidP="006039B2">
      <w:pPr>
        <w:pStyle w:val="NormalWeb"/>
        <w:jc w:val="both"/>
        <w:rPr>
          <w:sz w:val="22"/>
          <w:szCs w:val="22"/>
          <w:lang w:val="sr-Latn-ME"/>
        </w:rPr>
      </w:pPr>
      <w:r w:rsidRPr="007546E5">
        <w:rPr>
          <w:sz w:val="22"/>
          <w:szCs w:val="22"/>
          <w:lang w:val="sr-Latn-ME"/>
        </w:rPr>
        <w:t>Nakon provjere prateće dokumentacije (Korak 3), evaluacioni odbor će dati konačnu preporuku ugovornom tijelu, koje donosi odluku o dodjeli grantova.</w:t>
      </w:r>
    </w:p>
    <w:p w14:paraId="58D67FE8" w14:textId="4DDE4033" w:rsidR="006039B2" w:rsidRPr="007546E5" w:rsidRDefault="006039B2" w:rsidP="006039B2">
      <w:pPr>
        <w:pStyle w:val="NormalWeb"/>
        <w:jc w:val="both"/>
        <w:rPr>
          <w:sz w:val="22"/>
          <w:szCs w:val="22"/>
          <w:lang w:val="sr-Latn-ME"/>
        </w:rPr>
      </w:pPr>
      <w:r w:rsidRPr="007546E5">
        <w:rPr>
          <w:sz w:val="22"/>
          <w:szCs w:val="22"/>
          <w:lang w:val="sr-Latn-ME"/>
        </w:rPr>
        <w:t xml:space="preserve">Ugovorno tijelo može odlučiti da ne dodijeli nijedan grant i da poništi poziv za dostavljanje </w:t>
      </w:r>
      <w:r w:rsidR="002832D2" w:rsidRPr="007546E5">
        <w:rPr>
          <w:sz w:val="22"/>
          <w:szCs w:val="22"/>
          <w:lang w:val="sr-Latn-ME"/>
        </w:rPr>
        <w:t>prijedlog</w:t>
      </w:r>
      <w:r w:rsidRPr="007546E5">
        <w:rPr>
          <w:sz w:val="22"/>
          <w:szCs w:val="22"/>
          <w:lang w:val="sr-Latn-ME"/>
        </w:rPr>
        <w:t>a projekata, pri čemu podnosioci prijava nemaju pravo na naknadu štete.</w:t>
      </w:r>
    </w:p>
    <w:p w14:paraId="6B5A6448" w14:textId="3745B350" w:rsidR="006039B2" w:rsidRPr="007546E5" w:rsidRDefault="006039B2" w:rsidP="006039B2">
      <w:pPr>
        <w:pStyle w:val="NormalWeb"/>
        <w:jc w:val="both"/>
        <w:rPr>
          <w:sz w:val="22"/>
          <w:szCs w:val="22"/>
          <w:lang w:val="sr-Latn-ME"/>
        </w:rPr>
      </w:pPr>
      <w:r w:rsidRPr="007546E5">
        <w:rPr>
          <w:sz w:val="22"/>
          <w:szCs w:val="22"/>
          <w:lang w:val="sr-Latn-ME"/>
        </w:rPr>
        <w:t xml:space="preserve">Odluka o dodjeli grantova </w:t>
      </w:r>
      <w:r w:rsidR="00CA54C7">
        <w:rPr>
          <w:sz w:val="22"/>
          <w:szCs w:val="22"/>
          <w:lang w:val="sr-Latn-ME"/>
        </w:rPr>
        <w:t xml:space="preserve">će </w:t>
      </w:r>
      <w:r w:rsidRPr="007546E5">
        <w:rPr>
          <w:sz w:val="22"/>
          <w:szCs w:val="22"/>
          <w:lang w:val="sr-Latn-ME"/>
        </w:rPr>
        <w:t>sadržava</w:t>
      </w:r>
      <w:r w:rsidR="00CA54C7">
        <w:rPr>
          <w:sz w:val="22"/>
          <w:szCs w:val="22"/>
          <w:lang w:val="sr-Latn-ME"/>
        </w:rPr>
        <w:t>ti</w:t>
      </w:r>
      <w:r w:rsidRPr="007546E5">
        <w:rPr>
          <w:sz w:val="22"/>
          <w:szCs w:val="22"/>
          <w:lang w:val="sr-Latn-ME"/>
        </w:rPr>
        <w:t xml:space="preserve"> spisak uspješnih podnosilaca prijava, imena odbijenih podnosilaca prijava, kao i rezervnu listu (ukoliko postoji).</w:t>
      </w:r>
    </w:p>
    <w:p w14:paraId="05C61DFD" w14:textId="77777777" w:rsidR="006039B2" w:rsidRPr="007546E5" w:rsidRDefault="006039B2" w:rsidP="006039B2">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2.5. OBAVJEŠTENJE O ODLUCI UGOVORNOG TIJELA</w:t>
      </w:r>
    </w:p>
    <w:p w14:paraId="1C7921E5" w14:textId="77777777" w:rsidR="006039B2" w:rsidRPr="007546E5" w:rsidRDefault="006039B2" w:rsidP="006039B2">
      <w:pPr>
        <w:pStyle w:val="NormalWeb"/>
        <w:jc w:val="both"/>
        <w:rPr>
          <w:sz w:val="22"/>
          <w:szCs w:val="22"/>
          <w:lang w:val="sr-Latn-ME"/>
        </w:rPr>
      </w:pPr>
      <w:r w:rsidRPr="007546E5">
        <w:rPr>
          <w:sz w:val="22"/>
          <w:szCs w:val="22"/>
          <w:lang w:val="sr-Latn-ME"/>
        </w:rPr>
        <w:t>Vodeći podnosioci prijava biće pisanim putem obaviješteni o odluci ugovornog tijela u vezi sa njihovom prijavom.</w:t>
      </w:r>
    </w:p>
    <w:p w14:paraId="6E15FD65" w14:textId="783CC892" w:rsidR="006039B2" w:rsidRPr="007546E5" w:rsidRDefault="006039B2" w:rsidP="006039B2">
      <w:pPr>
        <w:pStyle w:val="NormalWeb"/>
        <w:jc w:val="both"/>
        <w:rPr>
          <w:sz w:val="22"/>
          <w:szCs w:val="22"/>
          <w:lang w:val="sr-Latn-ME"/>
        </w:rPr>
      </w:pPr>
      <w:r w:rsidRPr="007546E5">
        <w:rPr>
          <w:sz w:val="22"/>
          <w:szCs w:val="22"/>
          <w:lang w:val="sr-Latn-ME"/>
        </w:rPr>
        <w:t>U slučaju odbijanja, biće obaviješteni o razlozima negativne odluke. Radi izbjegavanja svake nedoumice, napominje se da za prijave odbijene iz razloga kao što su neispunjavanje uslova prihvatljivosti (npr. prijava dostavljena nakon roka), neprihvatljivost (entitet ili lice ne pripada unaprijed definisanoj prihvatljivoj kategoriji), neispunjavanje kriterijuma izbora (nedovoljan finansijski, profesionalni ili operativni kapacitet) ili kriterijuma dodjele (</w:t>
      </w:r>
      <w:r w:rsidR="002832D2" w:rsidRPr="007546E5">
        <w:rPr>
          <w:sz w:val="22"/>
          <w:szCs w:val="22"/>
          <w:lang w:val="sr-Latn-ME"/>
        </w:rPr>
        <w:t>prijedlog</w:t>
      </w:r>
      <w:r w:rsidRPr="007546E5">
        <w:rPr>
          <w:sz w:val="22"/>
          <w:szCs w:val="22"/>
          <w:lang w:val="sr-Latn-ME"/>
        </w:rPr>
        <w:t xml:space="preserve"> ne ispunjava unaprijed definisane zahtjeve kao što su kvalitet ili odnos troškova i efikasnosti), nije predviđen prethodni kontradiktorni postupak.</w:t>
      </w:r>
    </w:p>
    <w:p w14:paraId="5CA6F62A" w14:textId="77777777" w:rsidR="006039B2" w:rsidRPr="007546E5" w:rsidRDefault="006039B2" w:rsidP="006039B2">
      <w:pPr>
        <w:pStyle w:val="NormalWeb"/>
        <w:jc w:val="both"/>
        <w:rPr>
          <w:sz w:val="22"/>
          <w:szCs w:val="22"/>
          <w:lang w:val="sr-Latn-ME"/>
        </w:rPr>
      </w:pPr>
      <w:r w:rsidRPr="007546E5">
        <w:rPr>
          <w:sz w:val="22"/>
          <w:szCs w:val="22"/>
          <w:lang w:val="sr-Latn-ME"/>
        </w:rPr>
        <w:t>Podnosioci prijava koji su uvršteni na rezervnu listu takođe će biti obaviješteni. Uslovi koji se odnose na rezervnu listu utvrđeni su u odjeljku 6.5 Praktičnog vodiča.</w:t>
      </w:r>
    </w:p>
    <w:p w14:paraId="0C3E8772" w14:textId="77777777" w:rsidR="006039B2" w:rsidRPr="007546E5" w:rsidRDefault="006039B2" w:rsidP="006039B2">
      <w:pPr>
        <w:pStyle w:val="NormalWeb"/>
        <w:jc w:val="both"/>
        <w:rPr>
          <w:sz w:val="22"/>
          <w:szCs w:val="22"/>
          <w:lang w:val="sr-Latn-ME"/>
        </w:rPr>
      </w:pPr>
      <w:r w:rsidRPr="007546E5">
        <w:rPr>
          <w:sz w:val="22"/>
          <w:szCs w:val="22"/>
          <w:lang w:val="sr-Latn-ME"/>
        </w:rPr>
        <w:lastRenderedPageBreak/>
        <w:t>Uspješni podnosioci prijava biće takođe obaviješteni i od njih će se zatražiti dostavljanje određenih informacija i dokumenata, uključujući (za grantove veće od 60.000 EUR) upitnik za samoprocjenu u vezi sa seksualnom eksploatacijom, zlostavljanjem i uznemiravanjem (SEA-H). Vodeći podnosilac prijave, kao i svi su-podnosioci prijava i povezani subjekti, osim (i) fizičkih lica, (ii) subjekata koji su prošli procjenu po stubovima (pillar-assessed entities) i (iii) vlada i drugih javnih tijela, dužni su da popune ovaj upitnik za samoprocjenu kojim se procjenjuju interne politike i procedure organizacije u vezi sa seksualnom eksploatacijom, zlostavljanjem i uznemiravanjem (SEA-H) (Aneks L) (vidjeti odjeljak 6.2.10 Praktičnog vodiča).</w:t>
      </w:r>
    </w:p>
    <w:p w14:paraId="55DEE041" w14:textId="77777777" w:rsidR="006039B2" w:rsidRPr="007546E5" w:rsidRDefault="006039B2" w:rsidP="006039B2">
      <w:pPr>
        <w:pStyle w:val="NormalWeb"/>
        <w:jc w:val="both"/>
        <w:rPr>
          <w:sz w:val="22"/>
          <w:szCs w:val="22"/>
          <w:lang w:val="sr-Latn-ME"/>
        </w:rPr>
      </w:pPr>
      <w:r w:rsidRPr="007546E5">
        <w:rPr>
          <w:sz w:val="22"/>
          <w:szCs w:val="22"/>
          <w:lang w:val="sr-Latn-ME"/>
        </w:rPr>
        <w:t>Ovo pismo biće poslato putem e-maila i automatski će se pojaviti online u PROSPECT profilu korisnika koji je podnio prijavu. Vodeći podnosioci prijava koji su, u izuzetnim slučajevima (vidjeti odjeljak 2.2), morali podnijeti prijavu poštom, putem privatnog kurira ili lično, biće obaviješteni putem e-maila ili poštom ukoliko nijesu dostavili e-mail adresu. Stoga se preporučuje redovno provjeravanje PROSPECT profila, uzimajući u obzir indikativni vremenski plan naveden u nastavku. Napominje se da je vodeći podnosilac prijave posrednik za svu komunikaciju između podnosilaca prijava i ugovornog tijela tokom postupka.</w:t>
      </w:r>
    </w:p>
    <w:p w14:paraId="624DEE29" w14:textId="77777777" w:rsidR="006039B2" w:rsidRPr="007546E5" w:rsidRDefault="006039B2" w:rsidP="006039B2">
      <w:pPr>
        <w:pStyle w:val="NormalWeb"/>
        <w:jc w:val="both"/>
        <w:rPr>
          <w:sz w:val="22"/>
          <w:szCs w:val="22"/>
          <w:lang w:val="sr-Latn-ME"/>
        </w:rPr>
      </w:pPr>
      <w:r w:rsidRPr="007546E5">
        <w:rPr>
          <w:sz w:val="22"/>
          <w:szCs w:val="22"/>
          <w:lang w:val="sr-Latn-ME"/>
        </w:rPr>
        <w:t>Uspješni podnosioci prijava biće takođe obaviješteni ukoliko je isplata prve rate predfinansiranja uslovljena dostavljanjem finansijske garancije koju mora potvrditi ugovorno tijelo. U tom slučaju, od podnosioca prijave će se zahtijevati da dostavi garanciju u predviđenom roku kako bi se mogla izvršiti isplata prve rate u skladu sa odredbama o plaćanju iz ugovora o grantu.</w:t>
      </w:r>
    </w:p>
    <w:p w14:paraId="62B67ED9" w14:textId="77777777" w:rsidR="006039B2" w:rsidRPr="007546E5" w:rsidRDefault="006039B2" w:rsidP="006039B2">
      <w:pPr>
        <w:pStyle w:val="NormalWeb"/>
        <w:jc w:val="both"/>
        <w:rPr>
          <w:sz w:val="22"/>
          <w:szCs w:val="22"/>
          <w:lang w:val="sr-Latn-ME"/>
        </w:rPr>
      </w:pPr>
      <w:r w:rsidRPr="007546E5">
        <w:rPr>
          <w:sz w:val="22"/>
          <w:szCs w:val="22"/>
          <w:lang w:val="sr-Latn-ME"/>
        </w:rPr>
        <w:t>Podnosilac prijave koji smatra da je oštećen greškom ili nepravilnošću tokom postupka dodjele može podnijeti žalbu. Vidjeti odjeljak 2.12 Praktičnog vodiča.</w:t>
      </w:r>
    </w:p>
    <w:p w14:paraId="69B580E3" w14:textId="77777777" w:rsidR="00CA7F74" w:rsidRPr="007546E5" w:rsidRDefault="00CA7F74" w:rsidP="00CA7F74">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2.6. POTPISIVANJE UGOVORA O GRANTU</w:t>
      </w:r>
    </w:p>
    <w:p w14:paraId="749AE860" w14:textId="7C76EBDD" w:rsidR="00CA7F74" w:rsidRPr="007546E5" w:rsidRDefault="00CA7F74" w:rsidP="00CA7F74">
      <w:pPr>
        <w:pStyle w:val="NormalWeb"/>
        <w:jc w:val="both"/>
        <w:rPr>
          <w:sz w:val="22"/>
          <w:szCs w:val="22"/>
          <w:lang w:val="sr-Latn-ME"/>
        </w:rPr>
      </w:pPr>
      <w:r w:rsidRPr="007546E5">
        <w:rPr>
          <w:sz w:val="22"/>
          <w:szCs w:val="22"/>
          <w:lang w:val="sr-Latn-ME"/>
        </w:rPr>
        <w:t xml:space="preserve">Nakon donošenja odluke o dodjeli granta, korisniku(ima) će biti ponuđen ugovor zasnovan na standardnom ugovoru o grantu (vidjeti Aneks G ovih </w:t>
      </w:r>
      <w:r w:rsidR="00F525EE">
        <w:rPr>
          <w:sz w:val="22"/>
          <w:szCs w:val="22"/>
          <w:lang w:val="sr-Latn-ME"/>
        </w:rPr>
        <w:t>s</w:t>
      </w:r>
      <w:r w:rsidRPr="007546E5">
        <w:rPr>
          <w:sz w:val="22"/>
          <w:szCs w:val="22"/>
          <w:lang w:val="sr-Latn-ME"/>
        </w:rPr>
        <w:t xml:space="preserve">mjernica). Potpisivanjem obrasca prijave (Aneks A ovih </w:t>
      </w:r>
      <w:r w:rsidR="0006701C">
        <w:rPr>
          <w:sz w:val="22"/>
          <w:szCs w:val="22"/>
          <w:lang w:val="sr-Latn-ME"/>
        </w:rPr>
        <w:t>s</w:t>
      </w:r>
      <w:r w:rsidRPr="007546E5">
        <w:rPr>
          <w:sz w:val="22"/>
          <w:szCs w:val="22"/>
          <w:lang w:val="sr-Latn-ME"/>
        </w:rPr>
        <w:t>mjernica), podnosioci prijava potvrđuju da će, ukoliko im bude dodijeljen grant, prihvatiti ugovorne uslove standardnog ugovora o grantu.</w:t>
      </w:r>
      <w:r w:rsidR="0006701C">
        <w:rPr>
          <w:sz w:val="22"/>
          <w:szCs w:val="22"/>
          <w:lang w:val="sr-Latn-ME"/>
        </w:rPr>
        <w:t xml:space="preserve"> </w:t>
      </w:r>
      <w:r w:rsidRPr="007546E5">
        <w:rPr>
          <w:sz w:val="22"/>
          <w:szCs w:val="22"/>
          <w:lang w:val="sr-Latn-ME"/>
        </w:rPr>
        <w:t xml:space="preserve">Ukoliko je koordinator organizacija čiji su „stubovi“ pozitivno ocijenjeni od strane Evropske komisije, biće potpisan sporazum o doprinosu zasnovan na modelu sporazuma o doprinosu. U tom slučaju, odredbe standardnog ugovora o grantu i njegovi aneksi </w:t>
      </w:r>
      <w:r w:rsidR="0006701C">
        <w:rPr>
          <w:sz w:val="22"/>
          <w:szCs w:val="22"/>
          <w:lang w:val="sr-Latn-ME"/>
        </w:rPr>
        <w:t>s</w:t>
      </w:r>
      <w:r w:rsidRPr="007546E5">
        <w:rPr>
          <w:sz w:val="22"/>
          <w:szCs w:val="22"/>
          <w:lang w:val="sr-Latn-ME"/>
        </w:rPr>
        <w:t xml:space="preserve">e ne primjenjuju. Sve reference u ovim </w:t>
      </w:r>
      <w:r w:rsidR="0006701C">
        <w:rPr>
          <w:sz w:val="22"/>
          <w:szCs w:val="22"/>
          <w:lang w:val="sr-Latn-ME"/>
        </w:rPr>
        <w:t>s</w:t>
      </w:r>
      <w:r w:rsidRPr="007546E5">
        <w:rPr>
          <w:sz w:val="22"/>
          <w:szCs w:val="22"/>
          <w:lang w:val="sr-Latn-ME"/>
        </w:rPr>
        <w:t>mjernicama na ugovor o grantu treba tumačiti kao reference na odgovarajuće odredbe sporazuma o doprinosu.</w:t>
      </w:r>
    </w:p>
    <w:p w14:paraId="75D1B078" w14:textId="77777777" w:rsidR="00CA7F74" w:rsidRPr="007546E5" w:rsidRDefault="00CA7F74" w:rsidP="00CA7F74">
      <w:pPr>
        <w:pStyle w:val="NormalWeb"/>
        <w:jc w:val="both"/>
        <w:rPr>
          <w:sz w:val="22"/>
          <w:szCs w:val="22"/>
          <w:lang w:val="sr-Latn-ME"/>
        </w:rPr>
      </w:pPr>
      <w:r w:rsidRPr="007546E5">
        <w:rPr>
          <w:sz w:val="22"/>
          <w:szCs w:val="22"/>
          <w:lang w:val="sr-Latn-ME"/>
        </w:rPr>
        <w:t>Budžet predložen za akciju od strane uspješnih podnosilaca prijava u fazi poziva mora biti ispravljen prije potpisivanja ugovora, kako bi se uklonile očigledne aritmetičke greške ili neprihvatljivi troškovi. Opis akcije se, po potrebi, takođe usklađuje.</w:t>
      </w:r>
    </w:p>
    <w:p w14:paraId="086BE6B4" w14:textId="77777777" w:rsidR="00CA7F74" w:rsidRPr="007546E5" w:rsidRDefault="00CA7F74" w:rsidP="00CA7F74">
      <w:pPr>
        <w:pStyle w:val="NormalWeb"/>
        <w:jc w:val="both"/>
        <w:rPr>
          <w:sz w:val="22"/>
          <w:szCs w:val="22"/>
          <w:lang w:val="sr-Latn-ME"/>
        </w:rPr>
      </w:pPr>
      <w:r w:rsidRPr="007546E5">
        <w:rPr>
          <w:sz w:val="22"/>
          <w:szCs w:val="22"/>
          <w:lang w:val="sr-Latn-ME"/>
        </w:rPr>
        <w:t>Ugovorno tijelo može odlučiti da se izvrše dodatna pojašnjenja ili manje korekcije u opisu akcije ili budžetu, pod uslovom da time ne dolazi u pitanje odluka o dodjeli granta, da se ne narušava princip jednakog tretmana podnosilaca prijava, i da:</w:t>
      </w:r>
    </w:p>
    <w:p w14:paraId="2E7E4BA7" w14:textId="77777777" w:rsidR="00CA7F74" w:rsidRPr="007546E5" w:rsidRDefault="00CA7F74" w:rsidP="00CA7F74">
      <w:pPr>
        <w:numPr>
          <w:ilvl w:val="0"/>
          <w:numId w:val="25"/>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se odnose na pitanja jasno identifikovana od strane evaluacionog odbora; ili </w:t>
      </w:r>
    </w:p>
    <w:p w14:paraId="3E290B5A" w14:textId="23D39DE9" w:rsidR="00CA7F74" w:rsidRPr="007546E5" w:rsidRDefault="00CA7F74" w:rsidP="00CA7F74">
      <w:pPr>
        <w:numPr>
          <w:ilvl w:val="0"/>
          <w:numId w:val="25"/>
        </w:numPr>
        <w:spacing w:before="100" w:beforeAutospacing="1" w:after="100" w:afterAutospacing="1" w:line="240" w:lineRule="auto"/>
        <w:jc w:val="both"/>
        <w:rPr>
          <w:rFonts w:ascii="Times New Roman" w:hAnsi="Times New Roman" w:cs="Times New Roman"/>
        </w:rPr>
      </w:pPr>
      <w:r w:rsidRPr="007546E5">
        <w:rPr>
          <w:rFonts w:ascii="Times New Roman" w:hAnsi="Times New Roman" w:cs="Times New Roman"/>
        </w:rPr>
        <w:t xml:space="preserve">imaju za cilj da uzmu u obzir promjene nastale nakon datuma prijema </w:t>
      </w:r>
      <w:r w:rsidR="002832D2" w:rsidRPr="007546E5">
        <w:rPr>
          <w:rFonts w:ascii="Times New Roman" w:hAnsi="Times New Roman" w:cs="Times New Roman"/>
        </w:rPr>
        <w:t>prijedlog</w:t>
      </w:r>
      <w:r w:rsidRPr="007546E5">
        <w:rPr>
          <w:rFonts w:ascii="Times New Roman" w:hAnsi="Times New Roman" w:cs="Times New Roman"/>
        </w:rPr>
        <w:t xml:space="preserve">a. </w:t>
      </w:r>
    </w:p>
    <w:p w14:paraId="47A552B0" w14:textId="77777777" w:rsidR="00CA7F74" w:rsidRPr="007546E5" w:rsidRDefault="00CA7F74" w:rsidP="00CA7F74">
      <w:pPr>
        <w:pStyle w:val="NormalWeb"/>
        <w:jc w:val="both"/>
        <w:rPr>
          <w:sz w:val="22"/>
          <w:szCs w:val="22"/>
          <w:lang w:val="sr-Latn-ME"/>
        </w:rPr>
      </w:pPr>
      <w:r w:rsidRPr="007546E5">
        <w:rPr>
          <w:sz w:val="22"/>
          <w:szCs w:val="22"/>
          <w:lang w:val="sr-Latn-ME"/>
        </w:rPr>
        <w:t>Ove izmjene ne mogu dovesti do povećanja iznosa granta niti procenta doprinosa Evropske unije utvrđenog u Smjernicama za ovaj poziv. U tom smislu, evidencija o komunikaciji sa podnosiocima prijava mora se čuvati u dosijeu.</w:t>
      </w:r>
    </w:p>
    <w:p w14:paraId="2C61FF5B" w14:textId="0E0BE8FA" w:rsidR="00CA7F74" w:rsidRPr="007546E5" w:rsidRDefault="00CA7F74" w:rsidP="00CA7F74">
      <w:pPr>
        <w:pStyle w:val="NormalWeb"/>
        <w:jc w:val="both"/>
        <w:rPr>
          <w:sz w:val="22"/>
          <w:szCs w:val="22"/>
          <w:lang w:val="sr-Latn-ME"/>
        </w:rPr>
      </w:pPr>
      <w:r w:rsidRPr="007546E5">
        <w:rPr>
          <w:sz w:val="22"/>
          <w:szCs w:val="22"/>
          <w:lang w:val="sr-Latn-ME"/>
        </w:rPr>
        <w:t xml:space="preserve">Ni u kom slučaju uslovi objavljeni u Smjernicama ne mogu biti izmijenjeni u ovoj fazi. Osim gore navedenih pojašnjenja i/ili korekcija, svaka druga izmjena inicijalnog </w:t>
      </w:r>
      <w:r w:rsidR="002832D2" w:rsidRPr="007546E5">
        <w:rPr>
          <w:sz w:val="22"/>
          <w:szCs w:val="22"/>
          <w:lang w:val="sr-Latn-ME"/>
        </w:rPr>
        <w:t>prijedlog</w:t>
      </w:r>
      <w:r w:rsidRPr="007546E5">
        <w:rPr>
          <w:sz w:val="22"/>
          <w:szCs w:val="22"/>
          <w:lang w:val="sr-Latn-ME"/>
        </w:rPr>
        <w:t>a ili odstupanje od uslova dodjele utvrđenih u Smjernicama strogo je zabranjena.</w:t>
      </w:r>
    </w:p>
    <w:p w14:paraId="468E2298" w14:textId="59A72E57" w:rsidR="00CA7F74" w:rsidRPr="007546E5" w:rsidRDefault="00CA7F74" w:rsidP="00CA7F74">
      <w:pPr>
        <w:pStyle w:val="NormalWeb"/>
        <w:jc w:val="both"/>
        <w:rPr>
          <w:b/>
          <w:sz w:val="22"/>
          <w:szCs w:val="22"/>
          <w:lang w:val="sr-Latn-ME"/>
        </w:rPr>
      </w:pPr>
      <w:r w:rsidRPr="007546E5">
        <w:rPr>
          <w:b/>
          <w:sz w:val="22"/>
          <w:szCs w:val="22"/>
          <w:lang w:val="sr-Latn-ME"/>
        </w:rPr>
        <w:lastRenderedPageBreak/>
        <w:t xml:space="preserve">Svaka druga izmjena </w:t>
      </w:r>
      <w:r w:rsidR="002832D2" w:rsidRPr="007546E5">
        <w:rPr>
          <w:b/>
          <w:sz w:val="22"/>
          <w:szCs w:val="22"/>
          <w:lang w:val="sr-Latn-ME"/>
        </w:rPr>
        <w:t>prijedlog</w:t>
      </w:r>
      <w:r w:rsidRPr="007546E5">
        <w:rPr>
          <w:b/>
          <w:sz w:val="22"/>
          <w:szCs w:val="22"/>
          <w:lang w:val="sr-Latn-ME"/>
        </w:rPr>
        <w:t>a uspješnog podnosioca prijave, kao i njegovo naknadno pregovaranje, nije dozvoljena.</w:t>
      </w:r>
    </w:p>
    <w:p w14:paraId="2995FD69" w14:textId="785D631A" w:rsidR="001A1586" w:rsidRPr="007546E5" w:rsidRDefault="0098103C" w:rsidP="00712DA1">
      <w:pPr>
        <w:pStyle w:val="NormalWeb"/>
        <w:jc w:val="both"/>
        <w:rPr>
          <w:b/>
          <w:sz w:val="22"/>
          <w:szCs w:val="22"/>
          <w:lang w:val="sr-Latn-ME"/>
        </w:rPr>
      </w:pPr>
      <w:r w:rsidRPr="007546E5">
        <w:rPr>
          <w:b/>
          <w:sz w:val="22"/>
          <w:szCs w:val="22"/>
          <w:lang w:val="sr-Latn-ME"/>
        </w:rPr>
        <w:t>2.7 INDIKATIVNI VREMENSKI OKVIR</w:t>
      </w:r>
    </w:p>
    <w:tbl>
      <w:tblPr>
        <w:tblStyle w:val="TableGrid"/>
        <w:tblW w:w="0" w:type="auto"/>
        <w:tblLook w:val="04A0" w:firstRow="1" w:lastRow="0" w:firstColumn="1" w:lastColumn="0" w:noHBand="0" w:noVBand="1"/>
      </w:tblPr>
      <w:tblGrid>
        <w:gridCol w:w="6374"/>
        <w:gridCol w:w="1559"/>
        <w:gridCol w:w="1083"/>
      </w:tblGrid>
      <w:tr w:rsidR="0098103C" w:rsidRPr="007546E5" w14:paraId="78F60976" w14:textId="77777777" w:rsidTr="005A67C0">
        <w:tc>
          <w:tcPr>
            <w:tcW w:w="6374" w:type="dxa"/>
          </w:tcPr>
          <w:p w14:paraId="3FD5C4BB" w14:textId="5C67EA86" w:rsidR="0098103C" w:rsidRPr="007546E5" w:rsidRDefault="0098103C" w:rsidP="00EF2510">
            <w:pPr>
              <w:rPr>
                <w:rFonts w:ascii="Times New Roman" w:hAnsi="Times New Roman" w:cs="Times New Roman"/>
              </w:rPr>
            </w:pPr>
          </w:p>
        </w:tc>
        <w:tc>
          <w:tcPr>
            <w:tcW w:w="1559" w:type="dxa"/>
            <w:shd w:val="clear" w:color="auto" w:fill="D9D9D9" w:themeFill="background1" w:themeFillShade="D9"/>
          </w:tcPr>
          <w:p w14:paraId="06E9192C" w14:textId="77777777" w:rsidR="0098103C" w:rsidRPr="007546E5" w:rsidRDefault="0098103C" w:rsidP="0098103C">
            <w:pPr>
              <w:jc w:val="center"/>
              <w:rPr>
                <w:rFonts w:ascii="Times New Roman" w:hAnsi="Times New Roman" w:cs="Times New Roman"/>
                <w:b/>
              </w:rPr>
            </w:pPr>
            <w:r w:rsidRPr="007546E5">
              <w:rPr>
                <w:rFonts w:ascii="Times New Roman" w:hAnsi="Times New Roman" w:cs="Times New Roman"/>
                <w:b/>
              </w:rPr>
              <w:t>Datum</w:t>
            </w:r>
          </w:p>
        </w:tc>
        <w:tc>
          <w:tcPr>
            <w:tcW w:w="1083" w:type="dxa"/>
            <w:shd w:val="clear" w:color="auto" w:fill="D9D9D9" w:themeFill="background1" w:themeFillShade="D9"/>
          </w:tcPr>
          <w:p w14:paraId="37775B4A" w14:textId="77777777" w:rsidR="0098103C" w:rsidRPr="007546E5" w:rsidRDefault="0098103C" w:rsidP="0098103C">
            <w:pPr>
              <w:jc w:val="center"/>
              <w:rPr>
                <w:rFonts w:ascii="Times New Roman" w:hAnsi="Times New Roman" w:cs="Times New Roman"/>
                <w:b/>
              </w:rPr>
            </w:pPr>
            <w:r w:rsidRPr="007546E5">
              <w:rPr>
                <w:rFonts w:ascii="Times New Roman" w:hAnsi="Times New Roman" w:cs="Times New Roman"/>
                <w:b/>
              </w:rPr>
              <w:t>Vrijeme</w:t>
            </w:r>
          </w:p>
        </w:tc>
      </w:tr>
      <w:tr w:rsidR="0098103C" w:rsidRPr="007546E5" w14:paraId="645AE1B3" w14:textId="77777777" w:rsidTr="005A67C0">
        <w:tc>
          <w:tcPr>
            <w:tcW w:w="6374" w:type="dxa"/>
            <w:shd w:val="clear" w:color="auto" w:fill="D9D9D9" w:themeFill="background1" w:themeFillShade="D9"/>
          </w:tcPr>
          <w:p w14:paraId="11D5DD12" w14:textId="77777777" w:rsidR="0098103C" w:rsidRPr="007546E5" w:rsidRDefault="0098103C" w:rsidP="00EF2510">
            <w:pPr>
              <w:rPr>
                <w:rFonts w:ascii="Times New Roman" w:hAnsi="Times New Roman" w:cs="Times New Roman"/>
                <w:b/>
              </w:rPr>
            </w:pPr>
            <w:r w:rsidRPr="007546E5">
              <w:rPr>
                <w:rFonts w:ascii="Times New Roman" w:hAnsi="Times New Roman" w:cs="Times New Roman"/>
                <w:b/>
              </w:rPr>
              <w:t>1. Informativni sastanak (ukoliko je predviđen)</w:t>
            </w:r>
          </w:p>
        </w:tc>
        <w:tc>
          <w:tcPr>
            <w:tcW w:w="1559" w:type="dxa"/>
          </w:tcPr>
          <w:p w14:paraId="548EAFEA"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26/02/2026</w:t>
            </w:r>
          </w:p>
        </w:tc>
        <w:tc>
          <w:tcPr>
            <w:tcW w:w="1083" w:type="dxa"/>
          </w:tcPr>
          <w:p w14:paraId="00FF7C94"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14:30</w:t>
            </w:r>
          </w:p>
        </w:tc>
      </w:tr>
      <w:tr w:rsidR="0098103C" w:rsidRPr="007546E5" w14:paraId="2617AAC3" w14:textId="77777777" w:rsidTr="005A67C0">
        <w:tc>
          <w:tcPr>
            <w:tcW w:w="6374" w:type="dxa"/>
            <w:shd w:val="clear" w:color="auto" w:fill="D9D9D9" w:themeFill="background1" w:themeFillShade="D9"/>
          </w:tcPr>
          <w:p w14:paraId="0D91891E" w14:textId="77777777" w:rsidR="0098103C" w:rsidRPr="007546E5" w:rsidRDefault="0098103C" w:rsidP="00EF2510">
            <w:pPr>
              <w:rPr>
                <w:rFonts w:ascii="Times New Roman" w:hAnsi="Times New Roman" w:cs="Times New Roman"/>
                <w:b/>
              </w:rPr>
            </w:pPr>
            <w:r w:rsidRPr="007546E5">
              <w:rPr>
                <w:rFonts w:ascii="Times New Roman" w:hAnsi="Times New Roman" w:cs="Times New Roman"/>
                <w:b/>
              </w:rPr>
              <w:t>2. Rok za podnošenje zahtjeva za pojašnjenja ugovornom tijelu</w:t>
            </w:r>
          </w:p>
        </w:tc>
        <w:tc>
          <w:tcPr>
            <w:tcW w:w="1559" w:type="dxa"/>
          </w:tcPr>
          <w:p w14:paraId="2345F0DC"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17/04/2026</w:t>
            </w:r>
          </w:p>
        </w:tc>
        <w:tc>
          <w:tcPr>
            <w:tcW w:w="1083" w:type="dxa"/>
          </w:tcPr>
          <w:p w14:paraId="4D35DACC"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w:t>
            </w:r>
          </w:p>
        </w:tc>
      </w:tr>
      <w:tr w:rsidR="0098103C" w:rsidRPr="007546E5" w14:paraId="2778E342" w14:textId="77777777" w:rsidTr="005A67C0">
        <w:tc>
          <w:tcPr>
            <w:tcW w:w="6374" w:type="dxa"/>
            <w:shd w:val="clear" w:color="auto" w:fill="D9D9D9" w:themeFill="background1" w:themeFillShade="D9"/>
          </w:tcPr>
          <w:p w14:paraId="74FECED5" w14:textId="77777777" w:rsidR="0098103C" w:rsidRPr="007546E5" w:rsidRDefault="0098103C" w:rsidP="00EF2510">
            <w:pPr>
              <w:rPr>
                <w:rFonts w:ascii="Times New Roman" w:hAnsi="Times New Roman" w:cs="Times New Roman"/>
                <w:b/>
              </w:rPr>
            </w:pPr>
            <w:r w:rsidRPr="007546E5">
              <w:rPr>
                <w:rFonts w:ascii="Times New Roman" w:hAnsi="Times New Roman" w:cs="Times New Roman"/>
                <w:b/>
              </w:rPr>
              <w:t>3. Krajnji rok za dostavljanje pojašnjenja od strane ugovornog tijela</w:t>
            </w:r>
          </w:p>
        </w:tc>
        <w:tc>
          <w:tcPr>
            <w:tcW w:w="1559" w:type="dxa"/>
          </w:tcPr>
          <w:p w14:paraId="6E51B2F8"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27/04/2026</w:t>
            </w:r>
          </w:p>
        </w:tc>
        <w:tc>
          <w:tcPr>
            <w:tcW w:w="1083" w:type="dxa"/>
          </w:tcPr>
          <w:p w14:paraId="4F4BBC05"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w:t>
            </w:r>
          </w:p>
        </w:tc>
      </w:tr>
      <w:tr w:rsidR="0098103C" w:rsidRPr="007546E5" w14:paraId="7353790B" w14:textId="77777777" w:rsidTr="005A67C0">
        <w:tc>
          <w:tcPr>
            <w:tcW w:w="6374" w:type="dxa"/>
            <w:shd w:val="clear" w:color="auto" w:fill="D9D9D9" w:themeFill="background1" w:themeFillShade="D9"/>
          </w:tcPr>
          <w:p w14:paraId="63B333D7" w14:textId="77777777" w:rsidR="0098103C" w:rsidRPr="007546E5" w:rsidRDefault="0098103C" w:rsidP="00EF2510">
            <w:pPr>
              <w:rPr>
                <w:rFonts w:ascii="Times New Roman" w:hAnsi="Times New Roman" w:cs="Times New Roman"/>
                <w:b/>
              </w:rPr>
            </w:pPr>
            <w:r w:rsidRPr="007546E5">
              <w:rPr>
                <w:rFonts w:ascii="Times New Roman" w:hAnsi="Times New Roman" w:cs="Times New Roman"/>
                <w:b/>
              </w:rPr>
              <w:t>4. Rok za podnošenje prijava</w:t>
            </w:r>
          </w:p>
        </w:tc>
        <w:tc>
          <w:tcPr>
            <w:tcW w:w="1559" w:type="dxa"/>
          </w:tcPr>
          <w:p w14:paraId="6CD8A947"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08/05/2026</w:t>
            </w:r>
          </w:p>
        </w:tc>
        <w:tc>
          <w:tcPr>
            <w:tcW w:w="1083" w:type="dxa"/>
          </w:tcPr>
          <w:p w14:paraId="4EE2F164"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16:00</w:t>
            </w:r>
          </w:p>
        </w:tc>
      </w:tr>
      <w:tr w:rsidR="0098103C" w:rsidRPr="007546E5" w14:paraId="43310D55" w14:textId="77777777" w:rsidTr="005A67C0">
        <w:tc>
          <w:tcPr>
            <w:tcW w:w="6374" w:type="dxa"/>
            <w:shd w:val="clear" w:color="auto" w:fill="D9D9D9" w:themeFill="background1" w:themeFillShade="D9"/>
          </w:tcPr>
          <w:p w14:paraId="64579487" w14:textId="77777777" w:rsidR="0098103C" w:rsidRPr="007546E5" w:rsidRDefault="0098103C" w:rsidP="00EF2510">
            <w:pPr>
              <w:rPr>
                <w:rFonts w:ascii="Times New Roman" w:hAnsi="Times New Roman" w:cs="Times New Roman"/>
                <w:b/>
              </w:rPr>
            </w:pPr>
            <w:r w:rsidRPr="007546E5">
              <w:rPr>
                <w:rFonts w:ascii="Times New Roman" w:hAnsi="Times New Roman" w:cs="Times New Roman"/>
                <w:b/>
              </w:rPr>
              <w:t>5. Obavještenje vodećim podnosiocima prijava o administrativnoj provjeri i ocjenjivanju sažetog opisa projekta (Korak 1)</w:t>
            </w:r>
          </w:p>
        </w:tc>
        <w:tc>
          <w:tcPr>
            <w:tcW w:w="1559" w:type="dxa"/>
          </w:tcPr>
          <w:p w14:paraId="0EE9F0DD"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maj/jun 2026</w:t>
            </w:r>
          </w:p>
        </w:tc>
        <w:tc>
          <w:tcPr>
            <w:tcW w:w="1083" w:type="dxa"/>
          </w:tcPr>
          <w:p w14:paraId="3FC9FE64"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w:t>
            </w:r>
          </w:p>
        </w:tc>
      </w:tr>
      <w:tr w:rsidR="0098103C" w:rsidRPr="007546E5" w14:paraId="403B07BE" w14:textId="77777777" w:rsidTr="005A67C0">
        <w:tc>
          <w:tcPr>
            <w:tcW w:w="6374" w:type="dxa"/>
            <w:shd w:val="clear" w:color="auto" w:fill="D9D9D9" w:themeFill="background1" w:themeFillShade="D9"/>
          </w:tcPr>
          <w:p w14:paraId="4BD948E6" w14:textId="77777777" w:rsidR="0098103C" w:rsidRPr="007546E5" w:rsidRDefault="0098103C" w:rsidP="00EF2510">
            <w:pPr>
              <w:rPr>
                <w:rFonts w:ascii="Times New Roman" w:hAnsi="Times New Roman" w:cs="Times New Roman"/>
                <w:b/>
              </w:rPr>
            </w:pPr>
            <w:r w:rsidRPr="007546E5">
              <w:rPr>
                <w:rFonts w:ascii="Times New Roman" w:hAnsi="Times New Roman" w:cs="Times New Roman"/>
                <w:b/>
              </w:rPr>
              <w:t>6. Obavještenje o odluci ugovornog tijela</w:t>
            </w:r>
          </w:p>
        </w:tc>
        <w:tc>
          <w:tcPr>
            <w:tcW w:w="1559" w:type="dxa"/>
          </w:tcPr>
          <w:p w14:paraId="69CE8348"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jun/jul 2026</w:t>
            </w:r>
          </w:p>
        </w:tc>
        <w:tc>
          <w:tcPr>
            <w:tcW w:w="1083" w:type="dxa"/>
          </w:tcPr>
          <w:p w14:paraId="328F584B"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w:t>
            </w:r>
          </w:p>
        </w:tc>
      </w:tr>
      <w:tr w:rsidR="0098103C" w:rsidRPr="007546E5" w14:paraId="47CB077F" w14:textId="77777777" w:rsidTr="005A67C0">
        <w:tc>
          <w:tcPr>
            <w:tcW w:w="6374" w:type="dxa"/>
            <w:shd w:val="clear" w:color="auto" w:fill="D9D9D9" w:themeFill="background1" w:themeFillShade="D9"/>
          </w:tcPr>
          <w:p w14:paraId="33A4DD57" w14:textId="77777777" w:rsidR="0098103C" w:rsidRPr="007546E5" w:rsidRDefault="0098103C" w:rsidP="00EF2510">
            <w:pPr>
              <w:rPr>
                <w:rFonts w:ascii="Times New Roman" w:hAnsi="Times New Roman" w:cs="Times New Roman"/>
                <w:b/>
              </w:rPr>
            </w:pPr>
            <w:r w:rsidRPr="007546E5">
              <w:rPr>
                <w:rFonts w:ascii="Times New Roman" w:hAnsi="Times New Roman" w:cs="Times New Roman"/>
                <w:b/>
              </w:rPr>
              <w:t>7. Potpisivanje ugovora</w:t>
            </w:r>
          </w:p>
        </w:tc>
        <w:tc>
          <w:tcPr>
            <w:tcW w:w="1559" w:type="dxa"/>
          </w:tcPr>
          <w:p w14:paraId="56CC19DC"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jul 2026</w:t>
            </w:r>
          </w:p>
        </w:tc>
        <w:tc>
          <w:tcPr>
            <w:tcW w:w="1083" w:type="dxa"/>
          </w:tcPr>
          <w:p w14:paraId="6F090328" w14:textId="77777777" w:rsidR="0098103C" w:rsidRPr="007546E5" w:rsidRDefault="0098103C" w:rsidP="0098103C">
            <w:pPr>
              <w:jc w:val="center"/>
              <w:rPr>
                <w:rFonts w:ascii="Times New Roman" w:hAnsi="Times New Roman" w:cs="Times New Roman"/>
              </w:rPr>
            </w:pPr>
            <w:r w:rsidRPr="007546E5">
              <w:rPr>
                <w:rFonts w:ascii="Times New Roman" w:hAnsi="Times New Roman" w:cs="Times New Roman"/>
              </w:rPr>
              <w:t>-</w:t>
            </w:r>
          </w:p>
        </w:tc>
      </w:tr>
    </w:tbl>
    <w:p w14:paraId="6250B735" w14:textId="77777777" w:rsidR="0098103C" w:rsidRPr="007546E5" w:rsidRDefault="0098103C" w:rsidP="0098103C">
      <w:pPr>
        <w:pStyle w:val="NormalWeb"/>
        <w:jc w:val="both"/>
        <w:rPr>
          <w:sz w:val="22"/>
          <w:szCs w:val="22"/>
          <w:lang w:val="sr-Latn-ME"/>
        </w:rPr>
      </w:pPr>
      <w:r w:rsidRPr="007546E5">
        <w:rPr>
          <w:sz w:val="22"/>
          <w:szCs w:val="22"/>
          <w:lang w:val="sr-Latn-ME"/>
        </w:rPr>
        <w:t>Sva vremena su navedena u vremenskoj zoni zemlje ugovornog tijela.</w:t>
      </w:r>
    </w:p>
    <w:p w14:paraId="5C31B63F" w14:textId="5F8BDCF4" w:rsidR="0098103C" w:rsidRPr="007546E5" w:rsidRDefault="0098103C" w:rsidP="0098103C">
      <w:pPr>
        <w:pStyle w:val="NormalWeb"/>
        <w:jc w:val="both"/>
        <w:rPr>
          <w:sz w:val="22"/>
          <w:szCs w:val="22"/>
          <w:lang w:val="sr-Latn-ME"/>
        </w:rPr>
      </w:pPr>
      <w:r w:rsidRPr="007546E5">
        <w:rPr>
          <w:sz w:val="22"/>
          <w:szCs w:val="22"/>
          <w:lang w:val="sr-Latn-ME"/>
        </w:rPr>
        <w:t>Ovaj indikativni vremenski plan odnosi se na okvirne datume (osim za tačke 2, 3 i 4) i može biti ažuriran od strane ugovornog tijela tokom postupka. U tom slučaju, ažurirani vremenski plan biće objavljen na internet stranici na kojoj je poziv objavljen: internet stranica DG International Partnerships</w:t>
      </w:r>
      <w:r w:rsidRPr="007546E5">
        <w:rPr>
          <w:sz w:val="22"/>
          <w:szCs w:val="22"/>
          <w:lang w:val="sr-Latn-ME"/>
        </w:rPr>
        <w:br/>
      </w:r>
      <w:hyperlink r:id="rId52" w:tgtFrame="_new" w:history="1">
        <w:r w:rsidRPr="007546E5">
          <w:rPr>
            <w:rStyle w:val="Hyperlink"/>
            <w:sz w:val="22"/>
            <w:szCs w:val="22"/>
            <w:lang w:val="sr-Latn-ME"/>
          </w:rPr>
          <w:t>https://ec.europa.eu/international-partnerships/home_fr</w:t>
        </w:r>
      </w:hyperlink>
      <w:r w:rsidR="005A67C0" w:rsidRPr="007546E5">
        <w:rPr>
          <w:sz w:val="22"/>
          <w:szCs w:val="22"/>
          <w:lang w:val="sr-Latn-ME"/>
        </w:rPr>
        <w:t xml:space="preserve"> </w:t>
      </w:r>
      <w:r w:rsidRPr="007546E5">
        <w:rPr>
          <w:sz w:val="22"/>
          <w:szCs w:val="22"/>
          <w:lang w:val="sr-Latn-ME"/>
        </w:rPr>
        <w:t xml:space="preserve">i/ili </w:t>
      </w:r>
      <w:r w:rsidR="006C20E0">
        <w:rPr>
          <w:sz w:val="22"/>
          <w:szCs w:val="22"/>
          <w:lang w:val="sr-Latn-ME"/>
        </w:rPr>
        <w:t xml:space="preserve">internet stranica </w:t>
      </w:r>
      <w:r w:rsidRPr="007546E5">
        <w:rPr>
          <w:sz w:val="22"/>
          <w:szCs w:val="22"/>
          <w:lang w:val="sr-Latn-ME"/>
        </w:rPr>
        <w:t>Funding &amp; Tender Opportunities (F&amp;T Portal)</w:t>
      </w:r>
      <w:r w:rsidR="005A67C0" w:rsidRPr="007546E5">
        <w:rPr>
          <w:sz w:val="22"/>
          <w:szCs w:val="22"/>
          <w:lang w:val="sr-Latn-ME"/>
        </w:rPr>
        <w:t xml:space="preserve"> </w:t>
      </w:r>
      <w:hyperlink r:id="rId53" w:history="1">
        <w:r w:rsidR="005A67C0" w:rsidRPr="007546E5">
          <w:rPr>
            <w:rStyle w:val="Hyperlink"/>
            <w:sz w:val="22"/>
            <w:szCs w:val="22"/>
            <w:lang w:val="sr-Latn-ME"/>
          </w:rPr>
          <w:t>https://ec.europa.eu/info/funding-tenders/opportunities/portal/screen/home</w:t>
        </w:r>
      </w:hyperlink>
    </w:p>
    <w:p w14:paraId="7A2980D9" w14:textId="77777777" w:rsidR="0098103C" w:rsidRPr="007546E5" w:rsidRDefault="0098103C" w:rsidP="0098103C">
      <w:pPr>
        <w:pStyle w:val="Heading3"/>
        <w:jc w:val="both"/>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2.8. SISTEM RANOG OTKRIVANJA I ISKLJUČENJA</w:t>
      </w:r>
    </w:p>
    <w:p w14:paraId="25410F9A" w14:textId="77777777" w:rsidR="0098103C" w:rsidRPr="007546E5" w:rsidRDefault="0098103C" w:rsidP="0098103C">
      <w:pPr>
        <w:pStyle w:val="NormalWeb"/>
        <w:jc w:val="both"/>
        <w:rPr>
          <w:sz w:val="22"/>
          <w:szCs w:val="22"/>
          <w:lang w:val="sr-Latn-ME"/>
        </w:rPr>
      </w:pPr>
      <w:r w:rsidRPr="007546E5">
        <w:rPr>
          <w:sz w:val="22"/>
          <w:szCs w:val="22"/>
          <w:lang w:val="sr-Latn-ME"/>
        </w:rPr>
        <w:t>Podnosioci prijava, kao i, ukoliko su pravna lica, lica koja imaju ovlašćenja za zastupanje, donošenje odluka ili kontrolu nad njima, fizička ili pravna lica koja preuzimaju neograničenu odgovornost za dugove, fizička ili pravna lica koja su ključna za dodjelu ili sprovođenje pravne obaveze, stvarni vlasnici ili bilo koji povezani subjekti podnosioca prijave, obavještavaju se da, ukoliko se nađu u nekoj od situacija ranog otkrivanja ili isključenja, njihovi lični podaci (ime, prezime za fizička lica, adresa, pravni oblik) mogu biti evidentirani u sistemu ranog otkrivanja i isključenja i proslijeđeni relevantnim licima i subjektima u vezi sa dodjelom ili izvršenjem ugovora o grantu.</w:t>
      </w:r>
    </w:p>
    <w:p w14:paraId="4C0049B5" w14:textId="77DB5CC9" w:rsidR="0098103C" w:rsidRPr="007546E5" w:rsidRDefault="0098103C" w:rsidP="0098103C">
      <w:pPr>
        <w:pStyle w:val="NormalWeb"/>
        <w:jc w:val="both"/>
        <w:rPr>
          <w:sz w:val="22"/>
          <w:szCs w:val="22"/>
          <w:lang w:val="sr-Latn-ME"/>
        </w:rPr>
      </w:pPr>
      <w:r w:rsidRPr="007546E5">
        <w:rPr>
          <w:sz w:val="22"/>
          <w:szCs w:val="22"/>
          <w:lang w:val="sr-Latn-ME"/>
        </w:rPr>
        <w:t>Za više informacija možete pogledati izjavu o zaštiti podataka dostupnu na:</w:t>
      </w:r>
      <w:r w:rsidR="005A67C0" w:rsidRPr="007546E5">
        <w:rPr>
          <w:sz w:val="22"/>
          <w:szCs w:val="22"/>
          <w:lang w:val="sr-Latn-ME"/>
        </w:rPr>
        <w:tab/>
      </w:r>
      <w:r w:rsidRPr="007546E5">
        <w:rPr>
          <w:sz w:val="22"/>
          <w:szCs w:val="22"/>
          <w:lang w:val="sr-Latn-ME"/>
        </w:rPr>
        <w:br/>
      </w:r>
      <w:hyperlink r:id="rId54" w:tgtFrame="_new" w:history="1">
        <w:r w:rsidRPr="007546E5">
          <w:rPr>
            <w:rStyle w:val="Hyperlink"/>
            <w:sz w:val="22"/>
            <w:szCs w:val="22"/>
            <w:lang w:val="sr-Latn-ME"/>
          </w:rPr>
          <w:t>http://ec.europa.eu/budget/explained/management/protecting/protect_en.cfm</w:t>
        </w:r>
      </w:hyperlink>
    </w:p>
    <w:p w14:paraId="7C78E27A" w14:textId="77777777" w:rsidR="0098103C" w:rsidRPr="007546E5" w:rsidRDefault="0098103C" w:rsidP="0098103C">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3. LISTA ANEKSA</w:t>
      </w:r>
    </w:p>
    <w:p w14:paraId="44956BD0" w14:textId="77777777" w:rsidR="0098103C" w:rsidRPr="007546E5" w:rsidRDefault="0098103C" w:rsidP="0098103C">
      <w:pPr>
        <w:pStyle w:val="Heading4"/>
        <w:rPr>
          <w:rFonts w:ascii="Times New Roman" w:hAnsi="Times New Roman" w:cs="Times New Roman"/>
          <w:i w:val="0"/>
          <w:color w:val="auto"/>
        </w:rPr>
      </w:pPr>
      <w:r w:rsidRPr="007546E5">
        <w:rPr>
          <w:rStyle w:val="Strong"/>
          <w:rFonts w:ascii="Times New Roman" w:hAnsi="Times New Roman" w:cs="Times New Roman"/>
          <w:bCs w:val="0"/>
          <w:i w:val="0"/>
          <w:color w:val="auto"/>
        </w:rPr>
        <w:t>DOKUMENTA KOJA SE POPUNJAVAJU</w:t>
      </w:r>
    </w:p>
    <w:p w14:paraId="3355F064" w14:textId="6DF7C184" w:rsidR="0098103C" w:rsidRPr="007546E5" w:rsidRDefault="0098103C" w:rsidP="0098103C">
      <w:pPr>
        <w:pStyle w:val="NormalWeb"/>
        <w:rPr>
          <w:sz w:val="22"/>
          <w:szCs w:val="22"/>
          <w:lang w:val="sr-Latn-ME"/>
        </w:rPr>
      </w:pPr>
      <w:r w:rsidRPr="007546E5">
        <w:rPr>
          <w:rStyle w:val="Strong"/>
          <w:b w:val="0"/>
          <w:sz w:val="22"/>
          <w:szCs w:val="22"/>
          <w:lang w:val="sr-Latn-ME"/>
        </w:rPr>
        <w:t>Aneks A</w:t>
      </w:r>
      <w:r w:rsidRPr="007546E5">
        <w:rPr>
          <w:sz w:val="22"/>
          <w:szCs w:val="22"/>
          <w:lang w:val="sr-Latn-ME"/>
        </w:rPr>
        <w:t xml:space="preserve"> </w:t>
      </w:r>
      <w:r w:rsidRPr="007546E5">
        <w:rPr>
          <w:sz w:val="22"/>
          <w:szCs w:val="22"/>
          <w:lang w:val="sr-Latn-ME"/>
        </w:rPr>
        <w:tab/>
        <w:t>Obrazac za prijavu za grant (Word format)</w:t>
      </w:r>
      <w:r w:rsidRPr="007546E5">
        <w:rPr>
          <w:sz w:val="22"/>
          <w:szCs w:val="22"/>
          <w:lang w:val="sr-Latn-ME"/>
        </w:rPr>
        <w:br/>
        <w:t xml:space="preserve">A.1 </w:t>
      </w:r>
      <w:r w:rsidRPr="007546E5">
        <w:rPr>
          <w:sz w:val="22"/>
          <w:szCs w:val="22"/>
          <w:lang w:val="sr-Latn-ME"/>
        </w:rPr>
        <w:tab/>
      </w:r>
      <w:r w:rsidRPr="007546E5">
        <w:rPr>
          <w:sz w:val="22"/>
          <w:szCs w:val="22"/>
          <w:lang w:val="sr-Latn-ME"/>
        </w:rPr>
        <w:tab/>
        <w:t>Sažeti opis projekta</w:t>
      </w:r>
      <w:r w:rsidRPr="007546E5">
        <w:rPr>
          <w:sz w:val="22"/>
          <w:szCs w:val="22"/>
          <w:lang w:val="sr-Latn-ME"/>
        </w:rPr>
        <w:br/>
        <w:t xml:space="preserve">A.2 </w:t>
      </w:r>
      <w:r w:rsidRPr="007546E5">
        <w:rPr>
          <w:sz w:val="22"/>
          <w:szCs w:val="22"/>
          <w:lang w:val="sr-Latn-ME"/>
        </w:rPr>
        <w:tab/>
      </w:r>
      <w:r w:rsidRPr="007546E5">
        <w:rPr>
          <w:sz w:val="22"/>
          <w:szCs w:val="22"/>
          <w:lang w:val="sr-Latn-ME"/>
        </w:rPr>
        <w:tab/>
        <w:t>Kompletan obrazac prijave</w:t>
      </w:r>
    </w:p>
    <w:p w14:paraId="65C01B40" w14:textId="1DAB601A" w:rsidR="0098103C" w:rsidRPr="007546E5" w:rsidRDefault="0098103C" w:rsidP="0098103C">
      <w:pPr>
        <w:pStyle w:val="NormalWeb"/>
        <w:rPr>
          <w:sz w:val="22"/>
          <w:szCs w:val="22"/>
          <w:lang w:val="sr-Latn-ME"/>
        </w:rPr>
      </w:pPr>
      <w:r w:rsidRPr="007546E5">
        <w:rPr>
          <w:rStyle w:val="Strong"/>
          <w:b w:val="0"/>
          <w:sz w:val="22"/>
          <w:szCs w:val="22"/>
          <w:lang w:val="sr-Latn-ME"/>
        </w:rPr>
        <w:t>Aneks B</w:t>
      </w:r>
      <w:r w:rsidRPr="007546E5">
        <w:rPr>
          <w:sz w:val="22"/>
          <w:szCs w:val="22"/>
          <w:lang w:val="sr-Latn-ME"/>
        </w:rPr>
        <w:t xml:space="preserve"> </w:t>
      </w:r>
      <w:r w:rsidRPr="007546E5">
        <w:rPr>
          <w:sz w:val="22"/>
          <w:szCs w:val="22"/>
          <w:lang w:val="sr-Latn-ME"/>
        </w:rPr>
        <w:tab/>
        <w:t>Budžet (Excel format)</w:t>
      </w:r>
      <w:r w:rsidRPr="007546E5">
        <w:rPr>
          <w:sz w:val="22"/>
          <w:szCs w:val="22"/>
          <w:lang w:val="sr-Latn-ME"/>
        </w:rPr>
        <w:br/>
      </w:r>
      <w:r w:rsidRPr="007546E5">
        <w:rPr>
          <w:rStyle w:val="Strong"/>
          <w:b w:val="0"/>
          <w:sz w:val="22"/>
          <w:szCs w:val="22"/>
          <w:lang w:val="sr-Latn-ME"/>
        </w:rPr>
        <w:t>Aneks C</w:t>
      </w:r>
      <w:r w:rsidRPr="007546E5">
        <w:rPr>
          <w:sz w:val="22"/>
          <w:szCs w:val="22"/>
          <w:lang w:val="sr-Latn-ME"/>
        </w:rPr>
        <w:t xml:space="preserve"> </w:t>
      </w:r>
      <w:r w:rsidRPr="007546E5">
        <w:rPr>
          <w:sz w:val="22"/>
          <w:szCs w:val="22"/>
          <w:lang w:val="sr-Latn-ME"/>
        </w:rPr>
        <w:tab/>
        <w:t>Logički okvir (Excel format)</w:t>
      </w:r>
      <w:r w:rsidRPr="007546E5">
        <w:rPr>
          <w:sz w:val="22"/>
          <w:szCs w:val="22"/>
          <w:lang w:val="sr-Latn-ME"/>
        </w:rPr>
        <w:br/>
      </w:r>
      <w:r w:rsidRPr="007546E5">
        <w:rPr>
          <w:rStyle w:val="Strong"/>
          <w:b w:val="0"/>
          <w:sz w:val="22"/>
          <w:szCs w:val="22"/>
          <w:lang w:val="sr-Latn-ME"/>
        </w:rPr>
        <w:t>Aneks D</w:t>
      </w:r>
      <w:r w:rsidRPr="007546E5">
        <w:rPr>
          <w:sz w:val="22"/>
          <w:szCs w:val="22"/>
          <w:lang w:val="sr-Latn-ME"/>
        </w:rPr>
        <w:t xml:space="preserve"> </w:t>
      </w:r>
      <w:r w:rsidRPr="007546E5">
        <w:rPr>
          <w:sz w:val="22"/>
          <w:szCs w:val="22"/>
          <w:lang w:val="sr-Latn-ME"/>
        </w:rPr>
        <w:tab/>
        <w:t>[Nije primjenjivo]</w:t>
      </w:r>
      <w:r w:rsidRPr="007546E5">
        <w:rPr>
          <w:sz w:val="22"/>
          <w:szCs w:val="22"/>
          <w:lang w:val="sr-Latn-ME"/>
        </w:rPr>
        <w:br/>
      </w:r>
      <w:r w:rsidRPr="007546E5">
        <w:rPr>
          <w:rStyle w:val="Strong"/>
          <w:b w:val="0"/>
          <w:sz w:val="22"/>
          <w:szCs w:val="22"/>
          <w:lang w:val="sr-Latn-ME"/>
        </w:rPr>
        <w:t>Aneks E</w:t>
      </w:r>
      <w:r w:rsidRPr="007546E5">
        <w:rPr>
          <w:sz w:val="22"/>
          <w:szCs w:val="22"/>
          <w:lang w:val="sr-Latn-ME"/>
        </w:rPr>
        <w:t xml:space="preserve"> </w:t>
      </w:r>
      <w:r w:rsidRPr="007546E5">
        <w:rPr>
          <w:sz w:val="22"/>
          <w:szCs w:val="22"/>
          <w:lang w:val="sr-Latn-ME"/>
        </w:rPr>
        <w:tab/>
        <w:t>[Nije primjenjivo]</w:t>
      </w:r>
      <w:r w:rsidRPr="007546E5">
        <w:rPr>
          <w:sz w:val="22"/>
          <w:szCs w:val="22"/>
          <w:lang w:val="sr-Latn-ME"/>
        </w:rPr>
        <w:br/>
      </w:r>
      <w:r w:rsidRPr="007546E5">
        <w:rPr>
          <w:rStyle w:val="Strong"/>
          <w:b w:val="0"/>
          <w:sz w:val="22"/>
          <w:szCs w:val="22"/>
          <w:lang w:val="sr-Latn-ME"/>
        </w:rPr>
        <w:t>Aneks F</w:t>
      </w:r>
      <w:r w:rsidRPr="007546E5">
        <w:rPr>
          <w:sz w:val="22"/>
          <w:szCs w:val="22"/>
          <w:lang w:val="sr-Latn-ME"/>
        </w:rPr>
        <w:t xml:space="preserve"> </w:t>
      </w:r>
      <w:r w:rsidRPr="007546E5">
        <w:rPr>
          <w:sz w:val="22"/>
          <w:szCs w:val="22"/>
          <w:lang w:val="sr-Latn-ME"/>
        </w:rPr>
        <w:tab/>
        <w:t>Obrazac za registraciju u PADOR-u</w:t>
      </w:r>
      <w:r w:rsidRPr="007546E5">
        <w:rPr>
          <w:sz w:val="22"/>
          <w:szCs w:val="22"/>
          <w:lang w:val="sr-Latn-ME"/>
        </w:rPr>
        <w:br/>
      </w:r>
      <w:r w:rsidRPr="007546E5">
        <w:rPr>
          <w:rStyle w:val="Strong"/>
          <w:b w:val="0"/>
          <w:sz w:val="22"/>
          <w:szCs w:val="22"/>
          <w:lang w:val="sr-Latn-ME"/>
        </w:rPr>
        <w:t>Aneks H</w:t>
      </w:r>
      <w:r w:rsidRPr="007546E5">
        <w:rPr>
          <w:sz w:val="22"/>
          <w:szCs w:val="22"/>
          <w:lang w:val="sr-Latn-ME"/>
        </w:rPr>
        <w:t xml:space="preserve"> </w:t>
      </w:r>
      <w:r w:rsidRPr="007546E5">
        <w:rPr>
          <w:sz w:val="22"/>
          <w:szCs w:val="22"/>
          <w:lang w:val="sr-Latn-ME"/>
        </w:rPr>
        <w:tab/>
        <w:t>Izjava o časti u vezi sa kriterijumima isključenja</w:t>
      </w:r>
      <w:r w:rsidRPr="007546E5">
        <w:rPr>
          <w:sz w:val="22"/>
          <w:szCs w:val="22"/>
          <w:lang w:val="sr-Latn-ME"/>
        </w:rPr>
        <w:br/>
      </w:r>
      <w:r w:rsidRPr="007546E5">
        <w:rPr>
          <w:rStyle w:val="Strong"/>
          <w:b w:val="0"/>
          <w:sz w:val="22"/>
          <w:szCs w:val="22"/>
          <w:lang w:val="sr-Latn-ME"/>
        </w:rPr>
        <w:t>Aneks L</w:t>
      </w:r>
      <w:r w:rsidRPr="007546E5">
        <w:rPr>
          <w:sz w:val="22"/>
          <w:szCs w:val="22"/>
          <w:lang w:val="sr-Latn-ME"/>
        </w:rPr>
        <w:t xml:space="preserve"> </w:t>
      </w:r>
      <w:r w:rsidRPr="007546E5">
        <w:rPr>
          <w:sz w:val="22"/>
          <w:szCs w:val="22"/>
          <w:lang w:val="sr-Latn-ME"/>
        </w:rPr>
        <w:tab/>
        <w:t>Upitnik za samoprocjenu u vezi sa SEA-H</w:t>
      </w:r>
    </w:p>
    <w:p w14:paraId="15E24A0F" w14:textId="52927C24" w:rsidR="0098103C" w:rsidRPr="007546E5" w:rsidRDefault="0098103C" w:rsidP="0098103C">
      <w:pPr>
        <w:pStyle w:val="Heading4"/>
        <w:rPr>
          <w:rFonts w:ascii="Times New Roman" w:hAnsi="Times New Roman" w:cs="Times New Roman"/>
          <w:i w:val="0"/>
          <w:color w:val="auto"/>
        </w:rPr>
      </w:pPr>
      <w:r w:rsidRPr="007546E5">
        <w:rPr>
          <w:rStyle w:val="Strong"/>
          <w:rFonts w:ascii="Times New Roman" w:hAnsi="Times New Roman" w:cs="Times New Roman"/>
          <w:bCs w:val="0"/>
          <w:i w:val="0"/>
          <w:color w:val="auto"/>
        </w:rPr>
        <w:lastRenderedPageBreak/>
        <w:t>DOKUMENTA ZA INFORMISANJE</w:t>
      </w:r>
      <w:r w:rsidRPr="007546E5">
        <w:rPr>
          <w:rStyle w:val="FootnoteReference"/>
          <w:rFonts w:ascii="Times New Roman" w:hAnsi="Times New Roman" w:cs="Times New Roman"/>
          <w:b/>
          <w:i w:val="0"/>
          <w:color w:val="auto"/>
        </w:rPr>
        <w:footnoteReference w:id="25"/>
      </w:r>
    </w:p>
    <w:p w14:paraId="4ACDCE7C" w14:textId="54EC143F" w:rsidR="0098103C" w:rsidRPr="007546E5" w:rsidRDefault="0098103C" w:rsidP="0098103C">
      <w:pPr>
        <w:pStyle w:val="NormalWeb"/>
        <w:jc w:val="both"/>
        <w:rPr>
          <w:sz w:val="22"/>
          <w:szCs w:val="22"/>
          <w:lang w:val="sr-Latn-ME"/>
        </w:rPr>
      </w:pPr>
      <w:r w:rsidRPr="007546E5">
        <w:rPr>
          <w:rStyle w:val="Strong"/>
          <w:b w:val="0"/>
          <w:sz w:val="22"/>
          <w:szCs w:val="22"/>
          <w:lang w:val="sr-Latn-ME"/>
        </w:rPr>
        <w:t>Aneks G</w:t>
      </w:r>
      <w:r w:rsidRPr="007546E5">
        <w:rPr>
          <w:sz w:val="22"/>
          <w:szCs w:val="22"/>
          <w:lang w:val="sr-Latn-ME"/>
        </w:rPr>
        <w:t xml:space="preserve"> </w:t>
      </w:r>
      <w:r w:rsidRPr="007546E5">
        <w:rPr>
          <w:sz w:val="22"/>
          <w:szCs w:val="22"/>
          <w:lang w:val="sr-Latn-ME"/>
        </w:rPr>
        <w:tab/>
        <w:t>Standardni ugovor o grantu</w:t>
      </w:r>
      <w:r w:rsidRPr="007546E5">
        <w:rPr>
          <w:sz w:val="22"/>
          <w:szCs w:val="22"/>
          <w:lang w:val="sr-Latn-ME"/>
        </w:rPr>
        <w:tab/>
      </w:r>
      <w:r w:rsidRPr="007546E5">
        <w:rPr>
          <w:sz w:val="22"/>
          <w:szCs w:val="22"/>
          <w:lang w:val="sr-Latn-ME"/>
        </w:rPr>
        <w:br/>
      </w:r>
      <w:r w:rsidRPr="007546E5">
        <w:rPr>
          <w:rStyle w:val="Strong"/>
          <w:b w:val="0"/>
          <w:sz w:val="22"/>
          <w:szCs w:val="22"/>
          <w:lang w:val="sr-Latn-ME"/>
        </w:rPr>
        <w:t>Aneks II</w:t>
      </w:r>
      <w:r w:rsidRPr="007546E5">
        <w:rPr>
          <w:sz w:val="22"/>
          <w:szCs w:val="22"/>
          <w:lang w:val="sr-Latn-ME"/>
        </w:rPr>
        <w:t xml:space="preserve"> </w:t>
      </w:r>
      <w:r w:rsidRPr="007546E5">
        <w:rPr>
          <w:sz w:val="22"/>
          <w:szCs w:val="22"/>
          <w:lang w:val="sr-Latn-ME"/>
        </w:rPr>
        <w:tab/>
        <w:t>Opšti uslovi</w:t>
      </w:r>
      <w:r w:rsidRPr="007546E5">
        <w:rPr>
          <w:sz w:val="22"/>
          <w:szCs w:val="22"/>
          <w:lang w:val="sr-Latn-ME"/>
        </w:rPr>
        <w:tab/>
      </w:r>
      <w:r w:rsidRPr="007546E5">
        <w:rPr>
          <w:sz w:val="22"/>
          <w:szCs w:val="22"/>
          <w:lang w:val="sr-Latn-ME"/>
        </w:rPr>
        <w:br/>
      </w:r>
      <w:r w:rsidRPr="007546E5">
        <w:rPr>
          <w:rStyle w:val="Strong"/>
          <w:b w:val="0"/>
          <w:sz w:val="22"/>
          <w:szCs w:val="22"/>
          <w:lang w:val="sr-Latn-ME"/>
        </w:rPr>
        <w:t>Aneks IV</w:t>
      </w:r>
      <w:r w:rsidRPr="007546E5">
        <w:rPr>
          <w:sz w:val="22"/>
          <w:szCs w:val="22"/>
          <w:lang w:val="sr-Latn-ME"/>
        </w:rPr>
        <w:t xml:space="preserve"> </w:t>
      </w:r>
      <w:r w:rsidRPr="007546E5">
        <w:rPr>
          <w:sz w:val="22"/>
          <w:szCs w:val="22"/>
          <w:lang w:val="sr-Latn-ME"/>
        </w:rPr>
        <w:tab/>
        <w:t>Pravila za dodjelu ugovora</w:t>
      </w:r>
      <w:r w:rsidRPr="007546E5">
        <w:rPr>
          <w:sz w:val="22"/>
          <w:szCs w:val="22"/>
          <w:lang w:val="sr-Latn-ME"/>
        </w:rPr>
        <w:tab/>
      </w:r>
      <w:r w:rsidRPr="007546E5">
        <w:rPr>
          <w:sz w:val="22"/>
          <w:szCs w:val="22"/>
          <w:lang w:val="sr-Latn-ME"/>
        </w:rPr>
        <w:br/>
      </w:r>
      <w:r w:rsidRPr="007546E5">
        <w:rPr>
          <w:rStyle w:val="Strong"/>
          <w:b w:val="0"/>
          <w:sz w:val="22"/>
          <w:szCs w:val="22"/>
          <w:lang w:val="sr-Latn-ME"/>
        </w:rPr>
        <w:t>Aneks V</w:t>
      </w:r>
      <w:r w:rsidRPr="007546E5">
        <w:rPr>
          <w:sz w:val="22"/>
          <w:szCs w:val="22"/>
          <w:lang w:val="sr-Latn-ME"/>
        </w:rPr>
        <w:t xml:space="preserve"> </w:t>
      </w:r>
      <w:r w:rsidRPr="007546E5">
        <w:rPr>
          <w:sz w:val="22"/>
          <w:szCs w:val="22"/>
          <w:lang w:val="sr-Latn-ME"/>
        </w:rPr>
        <w:tab/>
        <w:t>Standardni zahtjev za plaćanje</w:t>
      </w:r>
      <w:r w:rsidRPr="007546E5">
        <w:rPr>
          <w:sz w:val="22"/>
          <w:szCs w:val="22"/>
          <w:lang w:val="sr-Latn-ME"/>
        </w:rPr>
        <w:tab/>
      </w:r>
      <w:r w:rsidRPr="007546E5">
        <w:rPr>
          <w:sz w:val="22"/>
          <w:szCs w:val="22"/>
          <w:lang w:val="sr-Latn-ME"/>
        </w:rPr>
        <w:br/>
      </w:r>
      <w:r w:rsidRPr="007546E5">
        <w:rPr>
          <w:rStyle w:val="Strong"/>
          <w:b w:val="0"/>
          <w:sz w:val="22"/>
          <w:szCs w:val="22"/>
          <w:lang w:val="sr-Latn-ME"/>
        </w:rPr>
        <w:t>Aneks VI</w:t>
      </w:r>
      <w:r w:rsidRPr="007546E5">
        <w:rPr>
          <w:sz w:val="22"/>
          <w:szCs w:val="22"/>
          <w:lang w:val="sr-Latn-ME"/>
        </w:rPr>
        <w:t xml:space="preserve"> </w:t>
      </w:r>
      <w:r w:rsidRPr="007546E5">
        <w:rPr>
          <w:sz w:val="22"/>
          <w:szCs w:val="22"/>
          <w:lang w:val="sr-Latn-ME"/>
        </w:rPr>
        <w:tab/>
        <w:t xml:space="preserve">Model narativnog i finansijskog izvještaja </w:t>
      </w:r>
      <w:r w:rsidRPr="007546E5">
        <w:rPr>
          <w:sz w:val="22"/>
          <w:szCs w:val="22"/>
          <w:lang w:val="sr-Latn-ME"/>
        </w:rPr>
        <w:tab/>
        <w:t xml:space="preserve">                                                                                             </w:t>
      </w:r>
      <w:r w:rsidRPr="007546E5">
        <w:rPr>
          <w:rStyle w:val="Strong"/>
          <w:b w:val="0"/>
          <w:sz w:val="22"/>
          <w:szCs w:val="22"/>
          <w:lang w:val="sr-Latn-ME"/>
        </w:rPr>
        <w:t>Aneks VII-A</w:t>
      </w:r>
      <w:r w:rsidRPr="007546E5">
        <w:rPr>
          <w:rStyle w:val="Strong"/>
          <w:sz w:val="22"/>
          <w:szCs w:val="22"/>
          <w:lang w:val="sr-Latn-ME"/>
        </w:rPr>
        <w:tab/>
      </w:r>
      <w:r w:rsidRPr="007546E5">
        <w:rPr>
          <w:sz w:val="22"/>
          <w:szCs w:val="22"/>
          <w:lang w:val="sr-Latn-ME"/>
        </w:rPr>
        <w:t>Model izvještaja o činjeničnim nalazima i projektni zadatak za verifikaciju troškova</w:t>
      </w:r>
      <w:r w:rsidRPr="007546E5">
        <w:rPr>
          <w:sz w:val="22"/>
          <w:szCs w:val="22"/>
          <w:lang w:val="sr-Latn-ME"/>
        </w:rPr>
        <w:tab/>
        <w:t xml:space="preserve">              ugovora o grantu finansiranog od strane EU za eksterno djelovanje</w:t>
      </w:r>
      <w:r w:rsidR="00C707A1">
        <w:rPr>
          <w:sz w:val="22"/>
          <w:szCs w:val="22"/>
          <w:lang w:val="sr-Latn-ME"/>
        </w:rPr>
        <w:tab/>
      </w:r>
      <w:r w:rsidRPr="007546E5">
        <w:rPr>
          <w:sz w:val="22"/>
          <w:szCs w:val="22"/>
          <w:lang w:val="sr-Latn-ME"/>
        </w:rPr>
        <w:t xml:space="preserve">                                                                            </w:t>
      </w:r>
      <w:r w:rsidRPr="007546E5">
        <w:rPr>
          <w:rStyle w:val="Strong"/>
          <w:b w:val="0"/>
          <w:sz w:val="22"/>
          <w:szCs w:val="22"/>
          <w:lang w:val="sr-Latn-ME"/>
        </w:rPr>
        <w:t>Aneks VII-B</w:t>
      </w:r>
      <w:r w:rsidRPr="007546E5">
        <w:rPr>
          <w:sz w:val="22"/>
          <w:szCs w:val="22"/>
          <w:lang w:val="sr-Latn-ME"/>
        </w:rPr>
        <w:t xml:space="preserve"> </w:t>
      </w:r>
      <w:r w:rsidRPr="007546E5">
        <w:rPr>
          <w:sz w:val="22"/>
          <w:szCs w:val="22"/>
          <w:lang w:val="sr-Latn-ME"/>
        </w:rPr>
        <w:tab/>
        <w:t>Projektni zadatak za procjenu od strane treće strane u slučaju finansiranja koje nije</w:t>
      </w:r>
      <w:r w:rsidRPr="007546E5">
        <w:rPr>
          <w:sz w:val="22"/>
          <w:szCs w:val="22"/>
          <w:lang w:val="sr-Latn-ME"/>
        </w:rPr>
        <w:tab/>
        <w:t xml:space="preserve">             povezano sa troškovima</w:t>
      </w:r>
      <w:r w:rsidRPr="007546E5">
        <w:rPr>
          <w:sz w:val="22"/>
          <w:szCs w:val="22"/>
          <w:lang w:val="sr-Latn-ME"/>
        </w:rPr>
        <w:tab/>
        <w:t xml:space="preserve">                                                                                                                                                                   </w:t>
      </w:r>
      <w:r w:rsidRPr="007546E5">
        <w:rPr>
          <w:rStyle w:val="Strong"/>
          <w:b w:val="0"/>
          <w:sz w:val="22"/>
          <w:szCs w:val="22"/>
          <w:lang w:val="sr-Latn-ME"/>
        </w:rPr>
        <w:t>Aneks VIII</w:t>
      </w:r>
      <w:r w:rsidRPr="007546E5">
        <w:rPr>
          <w:sz w:val="22"/>
          <w:szCs w:val="22"/>
          <w:lang w:val="sr-Latn-ME"/>
        </w:rPr>
        <w:t xml:space="preserve"> </w:t>
      </w:r>
      <w:r w:rsidRPr="007546E5">
        <w:rPr>
          <w:sz w:val="22"/>
          <w:szCs w:val="22"/>
          <w:lang w:val="sr-Latn-ME"/>
        </w:rPr>
        <w:tab/>
        <w:t>Model finansijske garancije</w:t>
      </w:r>
      <w:r w:rsidRPr="007546E5">
        <w:rPr>
          <w:sz w:val="22"/>
          <w:szCs w:val="22"/>
          <w:lang w:val="sr-Latn-ME"/>
        </w:rPr>
        <w:tab/>
      </w:r>
      <w:r w:rsidRPr="007546E5">
        <w:rPr>
          <w:sz w:val="22"/>
          <w:szCs w:val="22"/>
          <w:lang w:val="sr-Latn-ME"/>
        </w:rPr>
        <w:br/>
      </w:r>
      <w:r w:rsidRPr="007546E5">
        <w:rPr>
          <w:rStyle w:val="Strong"/>
          <w:b w:val="0"/>
          <w:sz w:val="22"/>
          <w:szCs w:val="22"/>
          <w:lang w:val="sr-Latn-ME"/>
        </w:rPr>
        <w:t>Aneks IX</w:t>
      </w:r>
      <w:r w:rsidRPr="007546E5">
        <w:rPr>
          <w:sz w:val="22"/>
          <w:szCs w:val="22"/>
          <w:lang w:val="sr-Latn-ME"/>
        </w:rPr>
        <w:t xml:space="preserve"> </w:t>
      </w:r>
      <w:r w:rsidRPr="007546E5">
        <w:rPr>
          <w:sz w:val="22"/>
          <w:szCs w:val="22"/>
          <w:lang w:val="sr-Latn-ME"/>
        </w:rPr>
        <w:tab/>
        <w:t>Standardni obrazac za prenos vlasništva nad imovinom</w:t>
      </w:r>
      <w:r w:rsidRPr="007546E5">
        <w:rPr>
          <w:sz w:val="22"/>
          <w:szCs w:val="22"/>
          <w:lang w:val="sr-Latn-ME"/>
        </w:rPr>
        <w:tab/>
        <w:t xml:space="preserve">                                                                   </w:t>
      </w:r>
      <w:r w:rsidRPr="007546E5">
        <w:rPr>
          <w:rStyle w:val="Strong"/>
          <w:b w:val="0"/>
          <w:sz w:val="22"/>
          <w:szCs w:val="22"/>
          <w:lang w:val="sr-Latn-ME"/>
        </w:rPr>
        <w:t>Aneks I</w:t>
      </w:r>
      <w:r w:rsidRPr="007546E5">
        <w:rPr>
          <w:sz w:val="22"/>
          <w:szCs w:val="22"/>
          <w:lang w:val="sr-Latn-ME"/>
        </w:rPr>
        <w:t xml:space="preserve"> </w:t>
      </w:r>
      <w:r w:rsidRPr="007546E5">
        <w:rPr>
          <w:sz w:val="22"/>
          <w:szCs w:val="22"/>
          <w:lang w:val="sr-Latn-ME"/>
        </w:rPr>
        <w:tab/>
        <w:t>Dnevnice (per diem), dostupne na sljedećoj adresi:</w:t>
      </w:r>
      <w:r w:rsidRPr="007546E5">
        <w:rPr>
          <w:sz w:val="22"/>
          <w:szCs w:val="22"/>
          <w:lang w:val="sr-Latn-ME"/>
        </w:rPr>
        <w:tab/>
      </w:r>
      <w:r w:rsidRPr="007546E5">
        <w:rPr>
          <w:sz w:val="22"/>
          <w:szCs w:val="22"/>
          <w:lang w:val="sr-Latn-ME"/>
        </w:rPr>
        <w:tab/>
      </w:r>
      <w:r w:rsidRPr="007546E5">
        <w:rPr>
          <w:sz w:val="22"/>
          <w:szCs w:val="22"/>
          <w:lang w:val="sr-Latn-ME"/>
        </w:rPr>
        <w:tab/>
        <w:t xml:space="preserve">                       </w:t>
      </w:r>
      <w:r w:rsidRPr="007546E5">
        <w:rPr>
          <w:sz w:val="22"/>
          <w:szCs w:val="22"/>
          <w:lang w:val="sr-Latn-ME"/>
        </w:rPr>
        <w:tab/>
      </w:r>
      <w:r w:rsidRPr="007546E5">
        <w:rPr>
          <w:sz w:val="22"/>
          <w:szCs w:val="22"/>
          <w:lang w:val="sr-Latn-ME"/>
        </w:rPr>
        <w:tab/>
      </w:r>
      <w:hyperlink r:id="rId55" w:history="1">
        <w:r w:rsidRPr="007546E5">
          <w:rPr>
            <w:rStyle w:val="Hyperlink"/>
            <w:sz w:val="22"/>
            <w:szCs w:val="22"/>
            <w:lang w:val="sr-Latn-ME"/>
          </w:rPr>
          <w:t>https://international-partnerships.ec.europa.eu/funding/guidelines/managing-</w:t>
        </w:r>
        <w:r w:rsidRPr="007546E5">
          <w:rPr>
            <w:rStyle w:val="Hyperlink"/>
            <w:sz w:val="22"/>
            <w:szCs w:val="22"/>
            <w:u w:val="none"/>
            <w:lang w:val="sr-Latn-ME"/>
          </w:rPr>
          <w:tab/>
        </w:r>
        <w:r w:rsidRPr="007546E5">
          <w:rPr>
            <w:rStyle w:val="Hyperlink"/>
            <w:sz w:val="22"/>
            <w:szCs w:val="22"/>
            <w:u w:val="none"/>
            <w:lang w:val="sr-Latn-ME"/>
          </w:rPr>
          <w:tab/>
        </w:r>
        <w:r w:rsidRPr="007546E5">
          <w:rPr>
            <w:rStyle w:val="Hyperlink"/>
            <w:sz w:val="22"/>
            <w:szCs w:val="22"/>
            <w:u w:val="none"/>
            <w:lang w:val="sr-Latn-ME"/>
          </w:rPr>
          <w:tab/>
        </w:r>
        <w:r w:rsidRPr="007546E5">
          <w:rPr>
            <w:rStyle w:val="Hyperlink"/>
            <w:sz w:val="22"/>
            <w:szCs w:val="22"/>
            <w:lang w:val="sr-Latn-ME"/>
          </w:rPr>
          <w:t>project/diem-rates_en</w:t>
        </w:r>
      </w:hyperlink>
      <w:r w:rsidRPr="007546E5">
        <w:rPr>
          <w:sz w:val="22"/>
          <w:szCs w:val="22"/>
          <w:lang w:val="sr-Latn-ME"/>
        </w:rPr>
        <w:t xml:space="preserve">                                                                                                                                 </w:t>
      </w:r>
      <w:r w:rsidRPr="007546E5">
        <w:rPr>
          <w:rStyle w:val="Strong"/>
          <w:b w:val="0"/>
          <w:sz w:val="22"/>
          <w:szCs w:val="22"/>
          <w:lang w:val="sr-Latn-ME"/>
        </w:rPr>
        <w:t>Aneks J</w:t>
      </w:r>
      <w:r w:rsidRPr="007546E5">
        <w:rPr>
          <w:sz w:val="22"/>
          <w:szCs w:val="22"/>
          <w:lang w:val="sr-Latn-ME"/>
        </w:rPr>
        <w:t xml:space="preserve"> </w:t>
      </w:r>
      <w:r w:rsidRPr="007546E5">
        <w:rPr>
          <w:sz w:val="22"/>
          <w:szCs w:val="22"/>
          <w:lang w:val="sr-Latn-ME"/>
        </w:rPr>
        <w:tab/>
        <w:t>Informacije o poreskom režimu primjenjivom na ugovore o grantu zaključene u okviru</w:t>
      </w:r>
      <w:r w:rsidRPr="007546E5">
        <w:rPr>
          <w:sz w:val="22"/>
          <w:szCs w:val="22"/>
          <w:lang w:val="sr-Latn-ME"/>
        </w:rPr>
        <w:tab/>
      </w:r>
      <w:r w:rsidRPr="007546E5">
        <w:rPr>
          <w:sz w:val="22"/>
          <w:szCs w:val="22"/>
          <w:lang w:val="sr-Latn-ME"/>
        </w:rPr>
        <w:tab/>
        <w:t>ovog poziva</w:t>
      </w:r>
      <w:r w:rsidRPr="007546E5">
        <w:rPr>
          <w:sz w:val="22"/>
          <w:szCs w:val="22"/>
          <w:lang w:val="sr-Latn-ME"/>
        </w:rPr>
        <w:tab/>
      </w:r>
      <w:r w:rsidRPr="007546E5">
        <w:rPr>
          <w:sz w:val="22"/>
          <w:szCs w:val="22"/>
          <w:lang w:val="sr-Latn-ME"/>
        </w:rPr>
        <w:br/>
      </w:r>
      <w:r w:rsidRPr="007546E5">
        <w:rPr>
          <w:rStyle w:val="Strong"/>
          <w:b w:val="0"/>
          <w:sz w:val="22"/>
          <w:szCs w:val="22"/>
          <w:lang w:val="sr-Latn-ME"/>
        </w:rPr>
        <w:t>Aneks K</w:t>
      </w:r>
      <w:r w:rsidRPr="007546E5">
        <w:rPr>
          <w:sz w:val="22"/>
          <w:szCs w:val="22"/>
          <w:lang w:val="sr-Latn-ME"/>
        </w:rPr>
        <w:tab/>
        <w:t>Dodatna pojašnjenja u vezi sa finansiranjem koje nije povezano sa troškovima</w:t>
      </w:r>
    </w:p>
    <w:p w14:paraId="54773D64" w14:textId="77777777" w:rsidR="0098103C" w:rsidRPr="007546E5" w:rsidRDefault="0098103C" w:rsidP="0098103C">
      <w:pPr>
        <w:pStyle w:val="Heading3"/>
        <w:rPr>
          <w:rFonts w:ascii="Times New Roman" w:hAnsi="Times New Roman" w:cs="Times New Roman"/>
          <w:color w:val="auto"/>
          <w:sz w:val="22"/>
          <w:szCs w:val="22"/>
        </w:rPr>
      </w:pPr>
      <w:r w:rsidRPr="007546E5">
        <w:rPr>
          <w:rStyle w:val="Strong"/>
          <w:rFonts w:ascii="Times New Roman" w:hAnsi="Times New Roman" w:cs="Times New Roman"/>
          <w:bCs w:val="0"/>
          <w:color w:val="auto"/>
          <w:sz w:val="22"/>
          <w:szCs w:val="22"/>
        </w:rPr>
        <w:t>KORISNI LINKOVI</w:t>
      </w:r>
    </w:p>
    <w:p w14:paraId="7D7B1711" w14:textId="77777777" w:rsidR="0098103C" w:rsidRPr="007546E5" w:rsidRDefault="0098103C" w:rsidP="0098103C">
      <w:pPr>
        <w:pStyle w:val="NormalWeb"/>
        <w:rPr>
          <w:sz w:val="22"/>
          <w:szCs w:val="22"/>
          <w:lang w:val="sr-Latn-ME"/>
        </w:rPr>
      </w:pPr>
      <w:r w:rsidRPr="007546E5">
        <w:rPr>
          <w:rStyle w:val="Strong"/>
          <w:sz w:val="22"/>
          <w:szCs w:val="22"/>
          <w:lang w:val="sr-Latn-ME"/>
        </w:rPr>
        <w:t>PRAG</w:t>
      </w:r>
      <w:r w:rsidRPr="007546E5">
        <w:rPr>
          <w:sz w:val="22"/>
          <w:szCs w:val="22"/>
          <w:lang w:val="sr-Latn-ME"/>
        </w:rPr>
        <w:br/>
      </w:r>
      <w:hyperlink r:id="rId56" w:tgtFrame="_new" w:history="1">
        <w:r w:rsidRPr="007546E5">
          <w:rPr>
            <w:rStyle w:val="Hyperlink"/>
            <w:color w:val="auto"/>
            <w:sz w:val="22"/>
            <w:szCs w:val="22"/>
            <w:lang w:val="sr-Latn-ME"/>
          </w:rPr>
          <w:t>https://wikis.ec.europa.eu/display/ExactExternalWiki/ePRAG</w:t>
        </w:r>
      </w:hyperlink>
    </w:p>
    <w:p w14:paraId="7630DD09" w14:textId="77777777" w:rsidR="0098103C" w:rsidRPr="007546E5" w:rsidRDefault="0098103C" w:rsidP="0098103C">
      <w:pPr>
        <w:pStyle w:val="NormalWeb"/>
        <w:rPr>
          <w:sz w:val="22"/>
          <w:szCs w:val="22"/>
          <w:lang w:val="sr-Latn-ME"/>
        </w:rPr>
      </w:pPr>
      <w:r w:rsidRPr="007546E5">
        <w:rPr>
          <w:rStyle w:val="Strong"/>
          <w:sz w:val="22"/>
          <w:szCs w:val="22"/>
          <w:lang w:val="sr-Latn-ME"/>
        </w:rPr>
        <w:t>Smjernice za upravljanje projektnim ciklusom</w:t>
      </w:r>
      <w:r w:rsidRPr="007546E5">
        <w:rPr>
          <w:sz w:val="22"/>
          <w:szCs w:val="22"/>
          <w:lang w:val="sr-Latn-ME"/>
        </w:rPr>
        <w:br/>
      </w:r>
      <w:hyperlink r:id="rId57" w:tgtFrame="_new" w:history="1">
        <w:r w:rsidRPr="007546E5">
          <w:rPr>
            <w:rStyle w:val="Hyperlink"/>
            <w:color w:val="auto"/>
            <w:sz w:val="22"/>
            <w:szCs w:val="22"/>
            <w:lang w:val="sr-Latn-ME"/>
          </w:rPr>
          <w:t>https://ec.europa.eu/international-partnerships/funding/managing-project_en</w:t>
        </w:r>
      </w:hyperlink>
    </w:p>
    <w:p w14:paraId="4B9C97D5" w14:textId="77777777" w:rsidR="0098103C" w:rsidRPr="007546E5" w:rsidRDefault="0098103C" w:rsidP="0098103C">
      <w:pPr>
        <w:pStyle w:val="NormalWeb"/>
        <w:rPr>
          <w:sz w:val="22"/>
          <w:szCs w:val="22"/>
          <w:lang w:val="sr-Latn-ME"/>
        </w:rPr>
      </w:pPr>
      <w:r w:rsidRPr="007546E5">
        <w:rPr>
          <w:rStyle w:val="Strong"/>
          <w:sz w:val="22"/>
          <w:szCs w:val="22"/>
          <w:lang w:val="sr-Latn-ME"/>
        </w:rPr>
        <w:t>Sprovođenje ugovora o grantu – vodič za korisnike</w:t>
      </w:r>
      <w:r w:rsidRPr="007546E5">
        <w:rPr>
          <w:sz w:val="22"/>
          <w:szCs w:val="22"/>
          <w:lang w:val="sr-Latn-ME"/>
        </w:rPr>
        <w:br/>
      </w:r>
      <w:hyperlink r:id="rId58" w:tgtFrame="_new" w:history="1">
        <w:r w:rsidRPr="007546E5">
          <w:rPr>
            <w:rStyle w:val="Hyperlink"/>
            <w:color w:val="auto"/>
            <w:sz w:val="22"/>
            <w:szCs w:val="22"/>
            <w:lang w:val="sr-Latn-ME"/>
          </w:rPr>
          <w:t>https://wikis.ec.europa.eu/pages/viewpage.action?pageId=48169235</w:t>
        </w:r>
      </w:hyperlink>
    </w:p>
    <w:p w14:paraId="5179A011" w14:textId="0DAF1DE7" w:rsidR="0098103C" w:rsidRPr="007546E5" w:rsidRDefault="0098103C" w:rsidP="0098103C">
      <w:pPr>
        <w:pStyle w:val="NormalWeb"/>
        <w:rPr>
          <w:sz w:val="22"/>
          <w:szCs w:val="22"/>
          <w:lang w:val="sr-Latn-ME"/>
        </w:rPr>
      </w:pPr>
      <w:r w:rsidRPr="007546E5">
        <w:rPr>
          <w:rStyle w:val="Strong"/>
          <w:sz w:val="22"/>
          <w:szCs w:val="22"/>
          <w:lang w:val="sr-Latn-ME"/>
        </w:rPr>
        <w:t>Finansijski alatnik</w:t>
      </w:r>
      <w:r w:rsidR="00EF2510" w:rsidRPr="007546E5">
        <w:rPr>
          <w:rStyle w:val="FootnoteReference"/>
          <w:b/>
          <w:bCs/>
          <w:sz w:val="22"/>
          <w:szCs w:val="22"/>
          <w:lang w:val="sr-Latn-ME"/>
        </w:rPr>
        <w:footnoteReference w:id="26"/>
      </w:r>
      <w:r w:rsidRPr="007546E5">
        <w:rPr>
          <w:sz w:val="22"/>
          <w:szCs w:val="22"/>
          <w:lang w:val="sr-Latn-ME"/>
        </w:rPr>
        <w:br/>
      </w:r>
      <w:hyperlink r:id="rId59" w:tgtFrame="_new" w:history="1">
        <w:r w:rsidRPr="007546E5">
          <w:rPr>
            <w:rStyle w:val="Hyperlink"/>
            <w:color w:val="auto"/>
            <w:sz w:val="22"/>
            <w:szCs w:val="22"/>
            <w:lang w:val="sr-Latn-ME"/>
          </w:rPr>
          <w:t>https://ec.europa.eu/international-partnerships/financial-management-toolkit_en</w:t>
        </w:r>
      </w:hyperlink>
    </w:p>
    <w:p w14:paraId="41FE9646" w14:textId="77777777" w:rsidR="0098103C" w:rsidRPr="007546E5" w:rsidRDefault="0098103C" w:rsidP="0098103C">
      <w:pPr>
        <w:pStyle w:val="NormalWeb"/>
        <w:rPr>
          <w:sz w:val="22"/>
          <w:szCs w:val="22"/>
          <w:lang w:val="sr-Latn-ME"/>
        </w:rPr>
      </w:pPr>
      <w:r w:rsidRPr="007546E5">
        <w:rPr>
          <w:rStyle w:val="Strong"/>
          <w:sz w:val="22"/>
          <w:szCs w:val="22"/>
          <w:lang w:val="sr-Latn-ME"/>
        </w:rPr>
        <w:t>Sistem ranog otkrivanja i isključenja (EDES)</w:t>
      </w:r>
      <w:r w:rsidRPr="007546E5">
        <w:rPr>
          <w:sz w:val="22"/>
          <w:szCs w:val="22"/>
          <w:lang w:val="sr-Latn-ME"/>
        </w:rPr>
        <w:br/>
      </w:r>
      <w:hyperlink r:id="rId60" w:anchor="data-protection" w:tgtFrame="_new" w:history="1">
        <w:r w:rsidRPr="007546E5">
          <w:rPr>
            <w:rStyle w:val="Hyperlink"/>
            <w:color w:val="auto"/>
            <w:sz w:val="22"/>
            <w:szCs w:val="22"/>
            <w:lang w:val="sr-Latn-ME"/>
          </w:rPr>
          <w:t>https://commission.europa.eu/strategy-and-policy/eu-budget/how-it-works/annual-lifecycle/implementation/anti-fraud-measures/edes_en#data-protection</w:t>
        </w:r>
      </w:hyperlink>
    </w:p>
    <w:p w14:paraId="0D623CD4" w14:textId="77777777" w:rsidR="0098103C" w:rsidRPr="007546E5" w:rsidRDefault="0098103C" w:rsidP="0098103C">
      <w:pPr>
        <w:pStyle w:val="NormalWeb"/>
        <w:jc w:val="both"/>
        <w:rPr>
          <w:sz w:val="22"/>
          <w:szCs w:val="22"/>
          <w:lang w:val="sr-Latn-ME"/>
        </w:rPr>
      </w:pPr>
    </w:p>
    <w:p w14:paraId="5BE705D7" w14:textId="77777777" w:rsidR="0098103C" w:rsidRPr="007546E5" w:rsidRDefault="0098103C" w:rsidP="00712DA1">
      <w:pPr>
        <w:jc w:val="both"/>
        <w:rPr>
          <w:rFonts w:ascii="Times New Roman" w:hAnsi="Times New Roman" w:cs="Times New Roman"/>
        </w:rPr>
      </w:pPr>
    </w:p>
    <w:sectPr w:rsidR="0098103C" w:rsidRPr="007546E5">
      <w:footerReference w:type="defaul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0BBE" w14:textId="77777777" w:rsidR="006078BD" w:rsidRDefault="006078BD" w:rsidP="003C0CB1">
      <w:pPr>
        <w:spacing w:after="0" w:line="240" w:lineRule="auto"/>
      </w:pPr>
      <w:r>
        <w:separator/>
      </w:r>
    </w:p>
  </w:endnote>
  <w:endnote w:type="continuationSeparator" w:id="0">
    <w:p w14:paraId="53FC93F6" w14:textId="77777777" w:rsidR="006078BD" w:rsidRDefault="006078BD" w:rsidP="003C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8B64" w14:textId="4EFEAF0B" w:rsidR="00C24BDD" w:rsidRDefault="00C24BDD" w:rsidP="003C0CB1">
    <w:pPr>
      <w:pStyle w:val="Footer"/>
      <w:tabs>
        <w:tab w:val="right" w:pos="9639"/>
      </w:tabs>
      <w:rPr>
        <w:rFonts w:ascii="Times New Roman" w:hAnsi="Times New Roman"/>
        <w:b/>
        <w:sz w:val="18"/>
        <w:szCs w:val="18"/>
        <w:lang w:val="en-GB"/>
      </w:rPr>
    </w:pPr>
    <w:r>
      <w:rPr>
        <w:rFonts w:ascii="Times New Roman" w:hAnsi="Times New Roman"/>
        <w:b/>
        <w:sz w:val="18"/>
        <w:szCs w:val="18"/>
      </w:rPr>
      <w:t>EuropeAid/</w:t>
    </w:r>
    <w:r>
      <w:rPr>
        <w:rFonts w:ascii="Times New Roman" w:hAnsi="Times New Roman"/>
        <w:b/>
        <w:noProof/>
        <w:sz w:val="18"/>
        <w:szCs w:val="18"/>
      </w:rPr>
      <w:t>185546</w:t>
    </w:r>
    <w:r>
      <w:rPr>
        <w:rFonts w:ascii="Times New Roman" w:hAnsi="Times New Roman"/>
        <w:b/>
        <w:sz w:val="18"/>
        <w:szCs w:val="18"/>
      </w:rPr>
      <w:t>/</w:t>
    </w:r>
    <w:r>
      <w:rPr>
        <w:rFonts w:ascii="Times New Roman" w:hAnsi="Times New Roman"/>
        <w:b/>
        <w:noProof/>
        <w:sz w:val="18"/>
        <w:szCs w:val="18"/>
      </w:rPr>
      <w:t>DD</w:t>
    </w:r>
    <w:r>
      <w:rPr>
        <w:rFonts w:ascii="Times New Roman" w:hAnsi="Times New Roman"/>
        <w:b/>
        <w:sz w:val="18"/>
        <w:szCs w:val="18"/>
      </w:rPr>
      <w:t>/</w:t>
    </w:r>
    <w:r>
      <w:rPr>
        <w:rFonts w:ascii="Times New Roman" w:hAnsi="Times New Roman"/>
        <w:b/>
        <w:noProof/>
        <w:sz w:val="18"/>
        <w:szCs w:val="18"/>
      </w:rPr>
      <w:t>ACT</w:t>
    </w:r>
    <w:r>
      <w:rPr>
        <w:rFonts w:ascii="Times New Roman" w:hAnsi="Times New Roman"/>
        <w:b/>
        <w:sz w:val="18"/>
        <w:szCs w:val="18"/>
      </w:rPr>
      <w:t>/</w:t>
    </w:r>
    <w:r>
      <w:rPr>
        <w:rFonts w:ascii="Times New Roman" w:hAnsi="Times New Roman"/>
        <w:b/>
        <w:noProof/>
        <w:sz w:val="18"/>
        <w:szCs w:val="18"/>
      </w:rPr>
      <w:t>ME</w:t>
    </w:r>
    <w:r>
      <w:rPr>
        <w:rFonts w:ascii="Times New Roman" w:hAnsi="Times New Roman"/>
        <w:b/>
        <w:sz w:val="18"/>
        <w:szCs w:val="18"/>
      </w:rPr>
      <w:tab/>
    </w:r>
  </w:p>
  <w:p w14:paraId="319C29DC" w14:textId="77777777" w:rsidR="00C24BDD" w:rsidRDefault="00C24BDD" w:rsidP="003C0CB1">
    <w:pPr>
      <w:pStyle w:val="Footer"/>
      <w:tabs>
        <w:tab w:val="right" w:pos="9639"/>
      </w:tabs>
      <w:rPr>
        <w:rFonts w:ascii="Times New Roman" w:hAnsi="Times New Roman"/>
        <w:sz w:val="18"/>
        <w:szCs w:val="18"/>
      </w:rPr>
    </w:pPr>
    <w:r>
      <w:rPr>
        <w:rFonts w:ascii="Times New Roman" w:hAnsi="Times New Roman"/>
        <w:b/>
        <w:sz w:val="18"/>
        <w:szCs w:val="18"/>
      </w:rPr>
      <w:t xml:space="preserve">2025 </w:t>
    </w: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Pr>
        <w:rFonts w:ascii="Times New Roman" w:hAnsi="Times New Roman"/>
        <w:noProof/>
        <w:sz w:val="18"/>
        <w:szCs w:val="18"/>
      </w:rPr>
      <w:t>Guidelines for grant applicant open (en).rtf</w:t>
    </w:r>
    <w:r>
      <w:rPr>
        <w:rFonts w:ascii="Times New Roman" w:hAnsi="Times New Roman"/>
        <w:sz w:val="18"/>
        <w:szCs w:val="18"/>
      </w:rPr>
      <w:fldChar w:fldCharType="end"/>
    </w:r>
  </w:p>
  <w:p w14:paraId="78F0B496" w14:textId="77777777" w:rsidR="00C24BDD" w:rsidRDefault="00C24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C9D3" w14:textId="77777777" w:rsidR="006078BD" w:rsidRDefault="006078BD" w:rsidP="003C0CB1">
      <w:pPr>
        <w:spacing w:after="0" w:line="240" w:lineRule="auto"/>
      </w:pPr>
      <w:r>
        <w:separator/>
      </w:r>
    </w:p>
  </w:footnote>
  <w:footnote w:type="continuationSeparator" w:id="0">
    <w:p w14:paraId="7D0B7FFD" w14:textId="77777777" w:rsidR="006078BD" w:rsidRDefault="006078BD" w:rsidP="003C0CB1">
      <w:pPr>
        <w:spacing w:after="0" w:line="240" w:lineRule="auto"/>
      </w:pPr>
      <w:r>
        <w:continuationSeparator/>
      </w:r>
    </w:p>
  </w:footnote>
  <w:footnote w:id="1">
    <w:p w14:paraId="3BB33961" w14:textId="0B0A2B5E" w:rsidR="00C24BDD" w:rsidRPr="00EF2510" w:rsidRDefault="00C24BDD" w:rsidP="003C0CB1">
      <w:pPr>
        <w:pStyle w:val="NormalWeb"/>
        <w:jc w:val="both"/>
        <w:rPr>
          <w:sz w:val="18"/>
          <w:szCs w:val="18"/>
          <w:lang w:val="sr-Latn-ME"/>
        </w:rPr>
      </w:pPr>
      <w:r w:rsidRPr="00EF2510">
        <w:rPr>
          <w:rStyle w:val="FootnoteReference"/>
          <w:sz w:val="18"/>
          <w:szCs w:val="18"/>
          <w:lang w:val="sr-Latn-ME"/>
        </w:rPr>
        <w:footnoteRef/>
      </w:r>
      <w:r w:rsidRPr="00EF2510">
        <w:rPr>
          <w:sz w:val="18"/>
          <w:szCs w:val="18"/>
          <w:lang w:val="sr-Latn-ME"/>
        </w:rPr>
        <w:t xml:space="preserve"> </w:t>
      </w:r>
      <w:r w:rsidRPr="00EF2510">
        <w:rPr>
          <w:bCs/>
          <w:sz w:val="18"/>
          <w:szCs w:val="18"/>
          <w:lang w:val="sr-Latn-ME"/>
        </w:rPr>
        <w:t xml:space="preserve">Online podnošenje putem sistema PROSPECT je obavezno za ovaj poziv za dostavljanje </w:t>
      </w:r>
      <w:r w:rsidR="002832D2">
        <w:rPr>
          <w:bCs/>
          <w:sz w:val="18"/>
          <w:szCs w:val="18"/>
          <w:lang w:val="sr-Latn-ME"/>
        </w:rPr>
        <w:t>prijedlog</w:t>
      </w:r>
      <w:r w:rsidRPr="00EF2510">
        <w:rPr>
          <w:bCs/>
          <w:sz w:val="18"/>
          <w:szCs w:val="18"/>
          <w:lang w:val="sr-Latn-ME"/>
        </w:rPr>
        <w:t xml:space="preserve">a projekata (vidjeti odjeljak 2.2.2). </w:t>
      </w:r>
      <w:r w:rsidRPr="00EF2510">
        <w:rPr>
          <w:sz w:val="18"/>
          <w:szCs w:val="18"/>
          <w:lang w:val="sr-Latn-ME"/>
        </w:rPr>
        <w:t>U sistemu PROSPECT svi datumi i vremena izraženi su prema briselskom vremenu. Podnosioci prijava treba da imaju u vidu da je IT podrška dostupna od ponedjeljka do petka</w:t>
      </w:r>
      <w:r>
        <w:rPr>
          <w:sz w:val="18"/>
          <w:szCs w:val="18"/>
          <w:lang w:val="sr-Latn-ME"/>
        </w:rPr>
        <w:t>,</w:t>
      </w:r>
      <w:r w:rsidRPr="00EF2510">
        <w:rPr>
          <w:sz w:val="18"/>
          <w:szCs w:val="18"/>
          <w:lang w:val="sr-Latn-ME"/>
        </w:rPr>
        <w:t xml:space="preserve"> u periodu od 08:30 do 18:30 časova</w:t>
      </w:r>
      <w:r>
        <w:rPr>
          <w:sz w:val="18"/>
          <w:szCs w:val="18"/>
          <w:lang w:val="sr-Latn-ME"/>
        </w:rPr>
        <w:t>,</w:t>
      </w:r>
      <w:r w:rsidRPr="00EF2510">
        <w:rPr>
          <w:sz w:val="18"/>
          <w:szCs w:val="18"/>
          <w:lang w:val="sr-Latn-ME"/>
        </w:rPr>
        <w:t xml:space="preserve"> po briselskom vremenu (osim tokom državnih praznika Evropske komisije u Belgiji, </w:t>
      </w:r>
      <w:r>
        <w:rPr>
          <w:sz w:val="18"/>
          <w:szCs w:val="18"/>
          <w:lang w:val="sr-Latn-ME"/>
        </w:rPr>
        <w:t>shodno</w:t>
      </w:r>
      <w:r w:rsidRPr="00EF2510">
        <w:rPr>
          <w:sz w:val="18"/>
          <w:szCs w:val="18"/>
          <w:lang w:val="sr-Latn-ME"/>
        </w:rPr>
        <w:t xml:space="preserve"> objavljeno</w:t>
      </w:r>
      <w:r>
        <w:rPr>
          <w:sz w:val="18"/>
          <w:szCs w:val="18"/>
          <w:lang w:val="sr-Latn-ME"/>
        </w:rPr>
        <w:t>m</w:t>
      </w:r>
      <w:r w:rsidRPr="00EF2510">
        <w:rPr>
          <w:sz w:val="18"/>
          <w:szCs w:val="18"/>
          <w:lang w:val="sr-Latn-ME"/>
        </w:rPr>
        <w:t xml:space="preserve"> u Službenom listu). Podnosioci prijava takođe treba da uzmu u obzir sedmične termine održavanja sistema navedene u korisničkom priručniku za PROSPECT.</w:t>
      </w:r>
    </w:p>
  </w:footnote>
  <w:footnote w:id="2">
    <w:p w14:paraId="2B9A7944" w14:textId="0F3CB09A" w:rsidR="00C24BDD" w:rsidRPr="00EF2510" w:rsidRDefault="00C24BDD">
      <w:pPr>
        <w:pStyle w:val="FootnoteText"/>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Primjer alata za konverziju vremena dostupan je na sljedećoj adresi:</w:t>
      </w:r>
      <w:r w:rsidR="002832D2">
        <w:rPr>
          <w:rFonts w:ascii="Times New Roman" w:hAnsi="Times New Roman" w:cs="Times New Roman"/>
          <w:sz w:val="18"/>
          <w:szCs w:val="18"/>
        </w:rPr>
        <w:t xml:space="preserve"> </w:t>
      </w:r>
      <w:hyperlink r:id="rId1" w:history="1">
        <w:r w:rsidR="002832D2" w:rsidRPr="00A97E01">
          <w:rPr>
            <w:rStyle w:val="Hyperlink"/>
            <w:rFonts w:ascii="Times New Roman" w:hAnsi="Times New Roman" w:cs="Times New Roman"/>
            <w:sz w:val="18"/>
            <w:szCs w:val="18"/>
          </w:rPr>
          <w:t>http://www.timeanddate.com/worldclock/converter.html</w:t>
        </w:r>
      </w:hyperlink>
    </w:p>
  </w:footnote>
  <w:footnote w:id="3">
    <w:p w14:paraId="37102CFF" w14:textId="0A6A6D82" w:rsidR="00C24BDD" w:rsidRPr="00EF2510" w:rsidRDefault="00C24BDD" w:rsidP="008F7952">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U slučaju da sistem PROSPECT nije dostupan, IT podrška se može kontaktirati i putem e-maila: </w:t>
      </w:r>
      <w:hyperlink r:id="rId2" w:history="1">
        <w:r w:rsidRPr="00EF2510">
          <w:rPr>
            <w:rStyle w:val="Hyperlink"/>
            <w:rFonts w:ascii="Times New Roman" w:hAnsi="Times New Roman" w:cs="Times New Roman"/>
            <w:sz w:val="18"/>
            <w:szCs w:val="18"/>
          </w:rPr>
          <w:t>ec-external-relations-application-support@ec.europa.eu</w:t>
        </w:r>
      </w:hyperlink>
      <w:r w:rsidRPr="00EF2510">
        <w:rPr>
          <w:rFonts w:ascii="Times New Roman" w:hAnsi="Times New Roman" w:cs="Times New Roman"/>
          <w:sz w:val="18"/>
          <w:szCs w:val="18"/>
        </w:rPr>
        <w:t xml:space="preserve"> </w:t>
      </w:r>
    </w:p>
  </w:footnote>
  <w:footnote w:id="4">
    <w:p w14:paraId="046E7A52" w14:textId="2B3B8346" w:rsidR="00C24BDD" w:rsidRPr="00EF2510" w:rsidRDefault="00C24BDD">
      <w:pPr>
        <w:pStyle w:val="FootnoteText"/>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w:t>
      </w:r>
      <w:hyperlink r:id="rId3" w:history="1">
        <w:r w:rsidRPr="00EF2510">
          <w:rPr>
            <w:rStyle w:val="Hyperlink"/>
            <w:rFonts w:ascii="Times New Roman" w:hAnsi="Times New Roman" w:cs="Times New Roman"/>
            <w:sz w:val="18"/>
            <w:szCs w:val="18"/>
          </w:rPr>
          <w:t>https://data.consilium.europa.eu/doc/document/ST-12848-2020-INIT/en/pdf</w:t>
        </w:r>
      </w:hyperlink>
      <w:r w:rsidRPr="00EF2510">
        <w:rPr>
          <w:rFonts w:ascii="Times New Roman" w:hAnsi="Times New Roman" w:cs="Times New Roman"/>
          <w:sz w:val="18"/>
          <w:szCs w:val="18"/>
        </w:rPr>
        <w:t xml:space="preserve">     </w:t>
      </w:r>
    </w:p>
  </w:footnote>
  <w:footnote w:id="5">
    <w:p w14:paraId="33B84109" w14:textId="6C77D33B" w:rsidR="00C24BDD" w:rsidRPr="00EF2510" w:rsidRDefault="00C24BDD">
      <w:pPr>
        <w:pStyle w:val="FootnoteText"/>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w:t>
      </w:r>
      <w:hyperlink r:id="rId4" w:history="1">
        <w:r w:rsidRPr="00EF2510">
          <w:rPr>
            <w:rStyle w:val="Hyperlink"/>
            <w:rFonts w:ascii="Times New Roman" w:hAnsi="Times New Roman" w:cs="Times New Roman"/>
            <w:sz w:val="18"/>
            <w:szCs w:val="18"/>
          </w:rPr>
          <w:t>https://data.consilium.europa.eu/doc/document/ST-9508-2024-INIT/en/pdf</w:t>
        </w:r>
      </w:hyperlink>
      <w:r w:rsidRPr="00EF2510">
        <w:rPr>
          <w:rFonts w:ascii="Times New Roman" w:hAnsi="Times New Roman" w:cs="Times New Roman"/>
          <w:sz w:val="18"/>
          <w:szCs w:val="18"/>
        </w:rPr>
        <w:t xml:space="preserve">   </w:t>
      </w:r>
    </w:p>
  </w:footnote>
  <w:footnote w:id="6">
    <w:p w14:paraId="03DD266F" w14:textId="4CA642BE" w:rsidR="00C24BDD" w:rsidRPr="00EF2510" w:rsidRDefault="00C24BDD">
      <w:pPr>
        <w:pStyle w:val="FootnoteText"/>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https://enlargement.ec.europa.eu/montenegro-report-2025_en</w:t>
      </w:r>
    </w:p>
  </w:footnote>
  <w:footnote w:id="7">
    <w:p w14:paraId="4CDB9B32" w14:textId="51E5A595" w:rsidR="00C24BDD" w:rsidRPr="00EF2510" w:rsidRDefault="00C24BDD" w:rsidP="00A92195">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U slučajevima kada se grant finansira iz Evropskog razvojnog fonda, svako pominjanje finansiranja od strane Evropske unije smatraće se kao da se odnosi na finansiranje iz Evropskog razvojnog fonda.</w:t>
      </w:r>
    </w:p>
  </w:footnote>
  <w:footnote w:id="8">
    <w:p w14:paraId="2F188CFD" w14:textId="27D923A3" w:rsidR="00C24BDD" w:rsidRPr="00EF2510" w:rsidRDefault="00C24BDD" w:rsidP="00A92195">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Napominje se da vodeći podnosilac prijave (tj. koordinator), čiji su stubovi (pillars) pozitivno ocijenjeni od strane Evropske komisije i kojem je dodijeljen grant, neće potpisati standardni ugovor o grantu objavljen uz ove smjernice, već ugovor o doprinosu zasnovan na modelu ugovora o doprinosu. Sve reference u ovim smjernicama i drugim dokumentima koji se odnose na ovaj poziv, a koje se </w:t>
      </w:r>
      <w:r w:rsidR="007D5B89">
        <w:rPr>
          <w:rFonts w:ascii="Times New Roman" w:hAnsi="Times New Roman" w:cs="Times New Roman"/>
          <w:sz w:val="18"/>
          <w:szCs w:val="18"/>
        </w:rPr>
        <w:t>tiču</w:t>
      </w:r>
      <w:r w:rsidRPr="00EF2510">
        <w:rPr>
          <w:rFonts w:ascii="Times New Roman" w:hAnsi="Times New Roman" w:cs="Times New Roman"/>
          <w:sz w:val="18"/>
          <w:szCs w:val="18"/>
        </w:rPr>
        <w:t xml:space="preserve"> standardn</w:t>
      </w:r>
      <w:r w:rsidR="007D5B89">
        <w:rPr>
          <w:rFonts w:ascii="Times New Roman" w:hAnsi="Times New Roman" w:cs="Times New Roman"/>
          <w:sz w:val="18"/>
          <w:szCs w:val="18"/>
        </w:rPr>
        <w:t>og</w:t>
      </w:r>
      <w:r w:rsidRPr="00EF2510">
        <w:rPr>
          <w:rFonts w:ascii="Times New Roman" w:hAnsi="Times New Roman" w:cs="Times New Roman"/>
          <w:sz w:val="18"/>
          <w:szCs w:val="18"/>
        </w:rPr>
        <w:t xml:space="preserve"> ugovor</w:t>
      </w:r>
      <w:r w:rsidR="007D5B89">
        <w:rPr>
          <w:rFonts w:ascii="Times New Roman" w:hAnsi="Times New Roman" w:cs="Times New Roman"/>
          <w:sz w:val="18"/>
          <w:szCs w:val="18"/>
        </w:rPr>
        <w:t>a</w:t>
      </w:r>
      <w:r w:rsidRPr="00EF2510">
        <w:rPr>
          <w:rFonts w:ascii="Times New Roman" w:hAnsi="Times New Roman" w:cs="Times New Roman"/>
          <w:sz w:val="18"/>
          <w:szCs w:val="18"/>
        </w:rPr>
        <w:t xml:space="preserve"> o grantu, u tom slučaju smatraće se kao reference na relevantne odredbe modela ugovora o doprinosu.</w:t>
      </w:r>
    </w:p>
  </w:footnote>
  <w:footnote w:id="9">
    <w:p w14:paraId="2B0D1631" w14:textId="0C8FF0D0" w:rsidR="00C24BDD" w:rsidRPr="00EF2510" w:rsidRDefault="00C24BDD" w:rsidP="003D72E2">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Radi izbjegavanja svake nedoumice, nevladina organizacija podrazumijeva dobrovoljnu, od vlade nezavisnu, neprofitnu organizaciju koja nije politička partija niti sindikat (član 2(48) Finansijske uredbe – FR).</w:t>
      </w:r>
    </w:p>
  </w:footnote>
  <w:footnote w:id="10">
    <w:p w14:paraId="6061723E" w14:textId="37C8C32E" w:rsidR="00C24BDD" w:rsidRPr="00EF2510" w:rsidRDefault="00C24BDD" w:rsidP="003D72E2">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Registrovan u skladu sa najmanje jednim od sljedećih zakona: Zakon o nevladinim organizacijama (Službeni list Crne Gore 27/99, 09, 30/02, 39/11, 37/17), Zakon o radu (Službeni list Crne Gore 43/03, 79/04, 49/08, 26/08, 88/09, 26/10, 59/11), Zakon o reprezentativnosti sindikata (Službeni list Crne Gore 26/2010), Pravilnik o reprezentativnosti organizacija poslodavaca (Službeni list Crne Gore 34/05), Zakon o Privrednoj komori Crne Gore (Službeni list Crne Gore 001/18), Zakon o Crvenom krstu Crne Gore (Službeni list Crne Gore 28/06).</w:t>
      </w:r>
    </w:p>
  </w:footnote>
  <w:footnote w:id="11">
    <w:p w14:paraId="50ED9D01" w14:textId="099BF67F" w:rsidR="00C24BDD" w:rsidRPr="00EF2510" w:rsidRDefault="00C24BDD" w:rsidP="003D72E2">
      <w:pPr>
        <w:pStyle w:val="FootnoteText"/>
        <w:jc w:val="both"/>
      </w:pPr>
      <w:r w:rsidRPr="00EF2510">
        <w:rPr>
          <w:rStyle w:val="FootnoteReference"/>
        </w:rPr>
        <w:footnoteRef/>
      </w:r>
      <w:r w:rsidRPr="00EF2510">
        <w:t xml:space="preserve"> </w:t>
      </w:r>
      <w:r w:rsidRPr="00EF2510">
        <w:rPr>
          <w:rFonts w:ascii="Times New Roman" w:hAnsi="Times New Roman" w:cs="Times New Roman"/>
          <w:sz w:val="18"/>
          <w:szCs w:val="18"/>
        </w:rPr>
        <w:t>Utvrđuje se na osnovu statuta organizacije, koji treba da potvrdi da je organizacija osnovana u skladu sa nacionalnim zakonodavstvom relevantne zemlje i da joj se sjedište nalazi u prihvatljivoj zemlji. U tom smislu, svako pravno lice čiji su statuti uspostavljeni u drugoj zemlji ne može se smatrati prihvatljivom lokalnom organizacijom, čak i ako su statuti registrovani na lokalnom nivou ili je zaključen „Memorandum o razumijevanju“.</w:t>
      </w:r>
    </w:p>
  </w:footnote>
  <w:footnote w:id="12">
    <w:p w14:paraId="5830F07D" w14:textId="2F039DB0" w:rsidR="00C24BDD" w:rsidRPr="00EF2510" w:rsidRDefault="00C24BDD" w:rsidP="003D72E2">
      <w:pPr>
        <w:pStyle w:val="FootnoteText"/>
        <w:jc w:val="both"/>
        <w:rPr>
          <w:rFonts w:ascii="Times New Roman" w:hAnsi="Times New Roman" w:cs="Times New Roman"/>
          <w:i/>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U skladu sa Uredbom (EU) br. 2021/947 Evropskog parlamenta i Savjeta – član 28: </w:t>
      </w:r>
      <w:r w:rsidRPr="00EF2510">
        <w:rPr>
          <w:rFonts w:ascii="Times New Roman" w:hAnsi="Times New Roman" w:cs="Times New Roman"/>
          <w:i/>
          <w:sz w:val="18"/>
          <w:szCs w:val="18"/>
        </w:rPr>
        <w:t xml:space="preserve">„Ne dovodeći u pitanje ograničenja koja proizilaze iz prirode i ciljeva </w:t>
      </w:r>
      <w:r w:rsidR="005817A5">
        <w:rPr>
          <w:rFonts w:ascii="Times New Roman" w:hAnsi="Times New Roman" w:cs="Times New Roman"/>
          <w:i/>
          <w:sz w:val="18"/>
          <w:szCs w:val="18"/>
        </w:rPr>
        <w:t>djelovanja</w:t>
      </w:r>
      <w:r w:rsidRPr="00EF2510">
        <w:rPr>
          <w:rFonts w:ascii="Times New Roman" w:hAnsi="Times New Roman" w:cs="Times New Roman"/>
          <w:i/>
          <w:sz w:val="18"/>
          <w:szCs w:val="18"/>
        </w:rPr>
        <w:t xml:space="preserve">, učešće u postupcima javnih nabavki, dodjele </w:t>
      </w:r>
      <w:r w:rsidR="005817A5">
        <w:rPr>
          <w:rFonts w:ascii="Times New Roman" w:hAnsi="Times New Roman" w:cs="Times New Roman"/>
          <w:i/>
          <w:sz w:val="18"/>
          <w:szCs w:val="18"/>
        </w:rPr>
        <w:t>bespovratnih sredstava</w:t>
      </w:r>
      <w:r w:rsidRPr="00EF2510">
        <w:rPr>
          <w:rFonts w:ascii="Times New Roman" w:hAnsi="Times New Roman" w:cs="Times New Roman"/>
          <w:i/>
          <w:sz w:val="18"/>
          <w:szCs w:val="18"/>
        </w:rPr>
        <w:t xml:space="preserve"> i nagrada za </w:t>
      </w:r>
      <w:r w:rsidR="005817A5">
        <w:rPr>
          <w:rFonts w:ascii="Times New Roman" w:hAnsi="Times New Roman" w:cs="Times New Roman"/>
          <w:i/>
          <w:sz w:val="18"/>
          <w:szCs w:val="18"/>
        </w:rPr>
        <w:t>aktivnosti</w:t>
      </w:r>
      <w:r w:rsidRPr="00EF2510">
        <w:rPr>
          <w:rFonts w:ascii="Times New Roman" w:hAnsi="Times New Roman" w:cs="Times New Roman"/>
          <w:i/>
          <w:sz w:val="18"/>
          <w:szCs w:val="18"/>
        </w:rPr>
        <w:t xml:space="preserve"> finansirane u okviru tematskog programa za ljudska prava i demokratiju i tematskog programa za mir, stabilnost i prevenciju konflikata, kao i aktivnosti brzog odgovora, biće otvoreno bez ograničenja.“</w:t>
      </w:r>
    </w:p>
  </w:footnote>
  <w:footnote w:id="13">
    <w:p w14:paraId="108B2232" w14:textId="2A019545" w:rsidR="00C24BDD" w:rsidRPr="00EF2510" w:rsidRDefault="00C24BDD">
      <w:pPr>
        <w:pStyle w:val="FootnoteText"/>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Član 29 Uredbe NDICI</w:t>
      </w:r>
    </w:p>
  </w:footnote>
  <w:footnote w:id="14">
    <w:p w14:paraId="7CEF4681" w14:textId="1E447CC7" w:rsidR="00C24BDD" w:rsidRPr="00EF2510" w:rsidRDefault="00C24BDD" w:rsidP="00712DA1">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t>[1]</w:t>
      </w:r>
      <w:r w:rsidRPr="00EF2510">
        <w:rPr>
          <w:rFonts w:ascii="Times New Roman" w:hAnsi="Times New Roman" w:cs="Times New Roman"/>
          <w:sz w:val="18"/>
          <w:szCs w:val="18"/>
        </w:rPr>
        <w:t xml:space="preserve"> U skladu sa definicijom OECD DAC-a, pojam „rezultati“ obuhvata: „uticaj“ (opšti cilj), „ishod(e)“ (specifični cilj(evi)) i „izlaz(e)“.</w:t>
      </w:r>
    </w:p>
  </w:footnote>
  <w:footnote w:id="15">
    <w:p w14:paraId="3047C3E9" w14:textId="462C2D7A" w:rsidR="00C24BDD" w:rsidRPr="00EF2510" w:rsidRDefault="00C24BDD" w:rsidP="00A66F29">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Prijave za grant mogu biti prihvatljive i ako ih podnose subjekti koji nemaju pravni subjektivitet prema važećem nacionalnom zakonodavstvu, pod uslovom da predstavnici tog podnosioca prijave mogu dokazati da imaju sposobnost da preuzimaju pravne obaveze u ime podnosioca prijave, kao i da obezbjeđuju finansijske i operativne garancije jednake onima koje pružaju pravna lica.</w:t>
      </w:r>
    </w:p>
  </w:footnote>
  <w:footnote w:id="16">
    <w:p w14:paraId="31DD1F4A" w14:textId="10CF2263" w:rsidR="00C24BDD" w:rsidRPr="00EF2510" w:rsidRDefault="00C24BDD" w:rsidP="00A66F29">
      <w:pPr>
        <w:pStyle w:val="FootnoteText"/>
        <w:jc w:val="both"/>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U okviru ovog poziva za dostavljanje </w:t>
      </w:r>
      <w:r w:rsidR="002832D2">
        <w:rPr>
          <w:rFonts w:ascii="Times New Roman" w:hAnsi="Times New Roman" w:cs="Times New Roman"/>
          <w:sz w:val="18"/>
          <w:szCs w:val="18"/>
        </w:rPr>
        <w:t>prijedlog</w:t>
      </w:r>
      <w:r w:rsidRPr="00EF2510">
        <w:rPr>
          <w:rFonts w:ascii="Times New Roman" w:hAnsi="Times New Roman" w:cs="Times New Roman"/>
          <w:sz w:val="18"/>
          <w:szCs w:val="18"/>
        </w:rPr>
        <w:t>a projekata primjenjuje se najšire moguće tumačenje pojma organizacija civilnog društva, kako je definisano 1999. godine od strane Evropskog ekonomskog i socijalnog komiteta (CES/1999/851), a dodatno razrađeno od strane EESC (CES/1999/851, CES/2000/81) i Evropske komisije (COM/2002/0704.final, COM/2005/0290.final).</w:t>
      </w:r>
    </w:p>
  </w:footnote>
  <w:footnote w:id="17">
    <w:p w14:paraId="0B42975E" w14:textId="695661B3" w:rsidR="00C24BDD" w:rsidRPr="00EF2510" w:rsidRDefault="00C24BDD" w:rsidP="002245BE">
      <w:pPr>
        <w:pStyle w:val="FootnoteText"/>
        <w:jc w:val="both"/>
      </w:pPr>
      <w:r w:rsidRPr="00EF2510">
        <w:rPr>
          <w:rStyle w:val="FootnoteReference"/>
        </w:rPr>
        <w:footnoteRef/>
      </w:r>
      <w:r w:rsidRPr="00EF2510">
        <w:t xml:space="preserve"> </w:t>
      </w:r>
      <w:r w:rsidRPr="00EF2510">
        <w:rPr>
          <w:rStyle w:val="Strong"/>
          <w:rFonts w:ascii="Times New Roman" w:hAnsi="Times New Roman" w:cs="Times New Roman"/>
          <w:b w:val="0"/>
          <w:sz w:val="18"/>
          <w:szCs w:val="18"/>
        </w:rPr>
        <w:t>Član 207 Finansijske uredbe</w:t>
      </w:r>
      <w:r w:rsidRPr="00EF2510">
        <w:t xml:space="preserve"> </w:t>
      </w:r>
      <w:r w:rsidRPr="00EF2510">
        <w:rPr>
          <w:sz w:val="18"/>
          <w:szCs w:val="18"/>
        </w:rPr>
        <w:t>- d</w:t>
      </w:r>
      <w:r w:rsidRPr="00EF2510">
        <w:rPr>
          <w:rFonts w:ascii="Times New Roman" w:hAnsi="Times New Roman" w:cs="Times New Roman"/>
          <w:sz w:val="18"/>
          <w:szCs w:val="18"/>
        </w:rPr>
        <w:t>ostupno na:</w:t>
      </w:r>
      <w:r w:rsidRPr="00EF2510">
        <w:rPr>
          <w:sz w:val="18"/>
          <w:szCs w:val="18"/>
        </w:rPr>
        <w:tab/>
      </w:r>
      <w:r w:rsidRPr="00EF2510">
        <w:rPr>
          <w:rFonts w:ascii="Times New Roman" w:hAnsi="Times New Roman" w:cs="Times New Roman"/>
          <w:sz w:val="18"/>
          <w:szCs w:val="18"/>
        </w:rPr>
        <w:br/>
      </w:r>
      <w:hyperlink r:id="rId5" w:tgtFrame="_new" w:history="1">
        <w:r w:rsidRPr="00EF2510">
          <w:rPr>
            <w:rStyle w:val="Hyperlink"/>
            <w:rFonts w:ascii="Times New Roman" w:hAnsi="Times New Roman" w:cs="Times New Roman"/>
            <w:sz w:val="18"/>
            <w:szCs w:val="18"/>
          </w:rPr>
          <w:t>https://eur-lex.europa.eu/legal-content/EN/TXT/PDF/?uri=CELEX:32018R1046&amp;from=EN</w:t>
        </w:r>
      </w:hyperlink>
      <w:r w:rsidRPr="00EF2510">
        <w:rPr>
          <w:sz w:val="18"/>
          <w:szCs w:val="18"/>
        </w:rPr>
        <w:t xml:space="preserve"> </w:t>
      </w:r>
      <w:r w:rsidRPr="00EF2510">
        <w:rPr>
          <w:rStyle w:val="Strong"/>
          <w:rFonts w:ascii="Times New Roman" w:hAnsi="Times New Roman" w:cs="Times New Roman"/>
          <w:b w:val="0"/>
          <w:sz w:val="18"/>
          <w:szCs w:val="18"/>
        </w:rPr>
        <w:t>Poglavlje 6.9.2 PRAG</w:t>
      </w:r>
      <w:r w:rsidRPr="00EF2510">
        <w:rPr>
          <w:rStyle w:val="Strong"/>
          <w:b w:val="0"/>
          <w:sz w:val="18"/>
          <w:szCs w:val="18"/>
        </w:rPr>
        <w:t>8</w:t>
      </w:r>
      <w:r w:rsidRPr="00EF2510">
        <w:rPr>
          <w:rStyle w:val="Strong"/>
          <w:rFonts w:ascii="Times New Roman" w:hAnsi="Times New Roman" w:cs="Times New Roman"/>
          <w:b w:val="0"/>
          <w:sz w:val="18"/>
          <w:szCs w:val="18"/>
        </w:rPr>
        <w:t xml:space="preserve">, </w:t>
      </w:r>
      <w:r w:rsidRPr="00EF2510">
        <w:rPr>
          <w:rStyle w:val="Strong"/>
          <w:b w:val="0"/>
          <w:sz w:val="18"/>
          <w:szCs w:val="18"/>
        </w:rPr>
        <w:t>P</w:t>
      </w:r>
      <w:r w:rsidRPr="00EF2510">
        <w:rPr>
          <w:rStyle w:val="Strong"/>
          <w:rFonts w:ascii="Times New Roman" w:hAnsi="Times New Roman" w:cs="Times New Roman"/>
          <w:b w:val="0"/>
          <w:sz w:val="18"/>
          <w:szCs w:val="18"/>
        </w:rPr>
        <w:t>oglavlje 19.2.10.3 u (ranije DEVCO, sada INTPA)</w:t>
      </w:r>
      <w:r w:rsidRPr="00EF2510">
        <w:rPr>
          <w:rStyle w:val="Strong"/>
          <w:b w:val="0"/>
          <w:sz w:val="18"/>
          <w:szCs w:val="18"/>
        </w:rPr>
        <w:t xml:space="preserve"> Pratećem dokumentu</w:t>
      </w:r>
      <w:r w:rsidRPr="00EF2510">
        <w:rPr>
          <w:rStyle w:val="Strong"/>
          <w:rFonts w:ascii="Times New Roman" w:hAnsi="Times New Roman" w:cs="Times New Roman"/>
          <w:b w:val="0"/>
          <w:sz w:val="18"/>
          <w:szCs w:val="18"/>
        </w:rPr>
        <w:t xml:space="preserve"> </w:t>
      </w:r>
      <w:r w:rsidRPr="00EF2510">
        <w:rPr>
          <w:rStyle w:val="Strong"/>
          <w:b w:val="0"/>
          <w:sz w:val="18"/>
          <w:szCs w:val="18"/>
        </w:rPr>
        <w:t>Companion9</w:t>
      </w:r>
      <w:r w:rsidRPr="00EF2510">
        <w:rPr>
          <w:rStyle w:val="Strong"/>
          <w:rFonts w:ascii="Times New Roman" w:hAnsi="Times New Roman" w:cs="Times New Roman"/>
          <w:b w:val="0"/>
          <w:sz w:val="18"/>
          <w:szCs w:val="18"/>
        </w:rPr>
        <w:t>, i članovi 10.5–10.9 Opštih uslova (Aneks II ugovora o grantu10).</w:t>
      </w:r>
    </w:p>
  </w:footnote>
  <w:footnote w:id="18">
    <w:p w14:paraId="7F8527AC" w14:textId="7CC0A7DE" w:rsidR="00C24BDD" w:rsidRPr="00EF2510" w:rsidRDefault="00C24BDD" w:rsidP="003F62E7">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Napominje se da, u slučajevima kada se troškovi volontera prihvataju kao sufinansiranje, oni se utvrđuju na osnovu jediničnog troška po volonteru po danu, kako je definisano i odobreno od strane Evropske komisije na sljedećoj adresi:</w:t>
      </w:r>
      <w:r w:rsidRPr="00EF2510">
        <w:rPr>
          <w:rFonts w:ascii="Times New Roman" w:hAnsi="Times New Roman" w:cs="Times New Roman"/>
          <w:sz w:val="18"/>
          <w:szCs w:val="18"/>
        </w:rPr>
        <w:br/>
      </w:r>
      <w:hyperlink r:id="rId6" w:tgtFrame="_new" w:history="1">
        <w:r w:rsidRPr="00EF2510">
          <w:rPr>
            <w:rStyle w:val="Hyperlink"/>
            <w:rFonts w:ascii="Times New Roman" w:hAnsi="Times New Roman" w:cs="Times New Roman"/>
            <w:sz w:val="18"/>
            <w:szCs w:val="18"/>
          </w:rPr>
          <w:t>https://ec.europa.eu/info/funding-tenders/opportunities/docs/2021-2027/common/guidance/unit-cost-decision</w:t>
        </w:r>
      </w:hyperlink>
    </w:p>
  </w:footnote>
  <w:footnote w:id="19">
    <w:p w14:paraId="13F1504E" w14:textId="055233AD" w:rsidR="00C24BDD" w:rsidRPr="00EF2510" w:rsidRDefault="00C24BDD" w:rsidP="001A2234">
      <w:pPr>
        <w:pStyle w:val="FootnoteText"/>
        <w:jc w:val="both"/>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Fizička lica koja podnose prijavu za grant (ukoliko je to dozvoljeno Smjernicama) nijesu obavezna da se registruju u PADOR-u. U tom slučaju, informacije unesene u PROSPECT i u sažeti opis projekta smatraju se dovoljnim.</w:t>
      </w:r>
    </w:p>
  </w:footnote>
  <w:footnote w:id="20">
    <w:p w14:paraId="1C4C4143" w14:textId="0C4819B2" w:rsidR="00C24BDD" w:rsidRPr="00EF2510" w:rsidRDefault="00C24BDD" w:rsidP="001A2234">
      <w:pPr>
        <w:pStyle w:val="FootnoteText"/>
        <w:jc w:val="both"/>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Što odgovara Aneksu F – PADOR off-line obrazac (Praktični vodič, Aneks e13).</w:t>
      </w:r>
    </w:p>
  </w:footnote>
  <w:footnote w:id="21">
    <w:p w14:paraId="73A73C64" w14:textId="4252ECC4" w:rsidR="00C24BDD" w:rsidRPr="00EF2510" w:rsidRDefault="00C24BDD" w:rsidP="00EA2C7C">
      <w:pPr>
        <w:pStyle w:val="NormalWeb"/>
        <w:jc w:val="both"/>
        <w:rPr>
          <w:sz w:val="18"/>
          <w:szCs w:val="18"/>
          <w:lang w:val="sr-Latn-ME"/>
        </w:rPr>
      </w:pPr>
      <w:r w:rsidRPr="00EF2510">
        <w:rPr>
          <w:rStyle w:val="FootnoteReference"/>
          <w:lang w:val="sr-Latn-ME"/>
        </w:rPr>
        <w:footnoteRef/>
      </w:r>
      <w:r w:rsidRPr="00EF2510">
        <w:rPr>
          <w:lang w:val="sr-Latn-ME"/>
        </w:rPr>
        <w:t xml:space="preserve"> </w:t>
      </w:r>
      <w:r w:rsidRPr="00EF2510">
        <w:rPr>
          <w:sz w:val="18"/>
          <w:szCs w:val="18"/>
          <w:lang w:val="sr-Latn-ME"/>
        </w:rPr>
        <w:t>Prateća dokumentacija neće biti zahtijevana za prijave za grant u iznosu do 60.000 EUR, niti za sljedeće kategorije vodećih podnosilaca prijava: (i) fizička lica koja primaju podršku u oblasti obrazovanja; (ii) fizička lica u najvećoj potrebi, kao što su nezaposleni i izbjeglice, koja primaju direktnu podršku; (iii) javna tijela, uključujući organizacije država članica; (iv) međunarodne organizacije.</w:t>
      </w:r>
    </w:p>
  </w:footnote>
  <w:footnote w:id="22">
    <w:p w14:paraId="700B179F" w14:textId="5588DCA8" w:rsidR="00C24BDD" w:rsidRPr="00EF2510" w:rsidRDefault="00C24BDD" w:rsidP="00A87E4E">
      <w:pPr>
        <w:pStyle w:val="FootnoteText"/>
        <w:jc w:val="both"/>
        <w:rPr>
          <w:rFonts w:ascii="Times New Roman" w:hAnsi="Times New Roman" w:cs="Times New Roman"/>
        </w:rPr>
      </w:pPr>
      <w:r w:rsidRPr="00EF2510">
        <w:rPr>
          <w:rStyle w:val="FootnoteReference"/>
          <w:rFonts w:ascii="Times New Roman" w:hAnsi="Times New Roman" w:cs="Times New Roman"/>
        </w:rPr>
        <w:footnoteRef/>
      </w:r>
      <w:r w:rsidRPr="00EF2510">
        <w:rPr>
          <w:rFonts w:ascii="Times New Roman" w:hAnsi="Times New Roman" w:cs="Times New Roman"/>
        </w:rPr>
        <w:t xml:space="preserve"> </w:t>
      </w:r>
      <w:r w:rsidRPr="00EF2510">
        <w:rPr>
          <w:rFonts w:ascii="Times New Roman" w:hAnsi="Times New Roman" w:cs="Times New Roman"/>
          <w:sz w:val="18"/>
          <w:szCs w:val="18"/>
        </w:rPr>
        <w:t>Napominje se da će biti prihvaćen isključivo kvalifikovani elektronski potpis (QES) u smislu Uredbe (EU) br. 910/2014 (eIDAS uredba). Uredba (EU) br. 910/2014 Evropskog parlamenta i Savjeta od 23. jula 2014. godine o elektronskoj identifikaciji i uslugama povjerenja za elektronske transakcije na unutrašnjem tržištu i stavljanju van snage Direktive 1999/93/EZ.</w:t>
      </w:r>
    </w:p>
  </w:footnote>
  <w:footnote w:id="23">
    <w:p w14:paraId="38343DE3" w14:textId="0A02BDBF" w:rsidR="00C24BDD" w:rsidRPr="00EF2510" w:rsidRDefault="00C24BDD">
      <w:pPr>
        <w:pStyle w:val="FootnoteText"/>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Vidjeti fusnotu </w:t>
      </w:r>
      <w:r w:rsidRPr="00EF2510">
        <w:rPr>
          <w:rStyle w:val="Strong"/>
          <w:rFonts w:ascii="Times New Roman" w:hAnsi="Times New Roman" w:cs="Times New Roman"/>
          <w:sz w:val="18"/>
          <w:szCs w:val="18"/>
        </w:rPr>
        <w:t>Greška! Obilježivač nije definisan. (</w:t>
      </w:r>
      <w:r w:rsidRPr="00EF2510">
        <w:rPr>
          <w:rFonts w:ascii="Times New Roman" w:hAnsi="Times New Roman" w:cs="Times New Roman"/>
          <w:b/>
          <w:sz w:val="18"/>
          <w:szCs w:val="18"/>
        </w:rPr>
        <w:t>E</w:t>
      </w:r>
      <w:r w:rsidRPr="00EF2510">
        <w:rPr>
          <w:rFonts w:ascii="Times New Roman" w:hAnsi="Times New Roman" w:cs="Times New Roman"/>
          <w:b/>
          <w:bCs/>
          <w:sz w:val="18"/>
          <w:szCs w:val="18"/>
        </w:rPr>
        <w:t>rror! Bookmark not defined.)</w:t>
      </w:r>
    </w:p>
  </w:footnote>
  <w:footnote w:id="24">
    <w:p w14:paraId="47BE5E78" w14:textId="02F0C5D1" w:rsidR="00C24BDD" w:rsidRPr="00EF2510" w:rsidRDefault="00C24BDD">
      <w:pPr>
        <w:pStyle w:val="FootnoteText"/>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Primjer: </w:t>
      </w:r>
      <w:hyperlink r:id="rId7" w:tgtFrame="_new" w:history="1">
        <w:r w:rsidRPr="00EF2510">
          <w:rPr>
            <w:rStyle w:val="Hyperlink"/>
            <w:rFonts w:ascii="Times New Roman" w:hAnsi="Times New Roman" w:cs="Times New Roman"/>
            <w:sz w:val="18"/>
            <w:szCs w:val="18"/>
          </w:rPr>
          <w:t>http://www.timeanddate.com/worldclock/converter.html</w:t>
        </w:r>
      </w:hyperlink>
    </w:p>
  </w:footnote>
  <w:footnote w:id="25">
    <w:p w14:paraId="58B161D8" w14:textId="576EF6E7" w:rsidR="00C24BDD" w:rsidRPr="00EF2510" w:rsidRDefault="00C24BDD">
      <w:pPr>
        <w:pStyle w:val="FootnoteText"/>
        <w:rPr>
          <w:rFonts w:ascii="Times New Roman" w:hAnsi="Times New Roman" w:cs="Times New Roman"/>
          <w:sz w:val="18"/>
          <w:szCs w:val="18"/>
        </w:rPr>
      </w:pPr>
      <w:r w:rsidRPr="00EF2510">
        <w:rPr>
          <w:rStyle w:val="FootnoteReference"/>
          <w:rFonts w:ascii="Times New Roman" w:hAnsi="Times New Roman" w:cs="Times New Roman"/>
          <w:sz w:val="18"/>
          <w:szCs w:val="18"/>
        </w:rPr>
        <w:footnoteRef/>
      </w:r>
      <w:r w:rsidRPr="00EF2510">
        <w:rPr>
          <w:rFonts w:ascii="Times New Roman" w:hAnsi="Times New Roman" w:cs="Times New Roman"/>
          <w:sz w:val="18"/>
          <w:szCs w:val="18"/>
        </w:rPr>
        <w:t xml:space="preserve"> Ova dokumenta treba da objavi i ugovorno tijelo.</w:t>
      </w:r>
    </w:p>
  </w:footnote>
  <w:footnote w:id="26">
    <w:p w14:paraId="1B1C2B9D" w14:textId="031858E0" w:rsidR="00C24BDD" w:rsidRPr="00EF2510" w:rsidRDefault="00C24BDD" w:rsidP="00EF2510">
      <w:pPr>
        <w:pStyle w:val="NormalWeb"/>
        <w:jc w:val="both"/>
        <w:rPr>
          <w:sz w:val="18"/>
          <w:szCs w:val="18"/>
          <w:lang w:val="sr-Latn-ME"/>
        </w:rPr>
      </w:pPr>
      <w:r w:rsidRPr="00EF2510">
        <w:rPr>
          <w:rStyle w:val="FootnoteReference"/>
          <w:sz w:val="18"/>
          <w:szCs w:val="18"/>
          <w:lang w:val="sr-Latn-ME"/>
        </w:rPr>
        <w:footnoteRef/>
      </w:r>
      <w:r w:rsidRPr="00EF2510">
        <w:rPr>
          <w:sz w:val="18"/>
          <w:szCs w:val="18"/>
          <w:lang w:val="sr-Latn-ME"/>
        </w:rPr>
        <w:t xml:space="preserve"> Napominje se da ovaj alatnik nije sastavni dio ugovora o grantu i nema pravnu snagu. On služi isključivo kao opšti vodič i može se u određenim detaljima razlikovati od potpisanog ugovora o grantu. Radi obezbjeđivanja usklađenosti sa ugovornim obavezama, korisnici ne bi trebalo da se isključivo oslanjaju na ovaj alatnik, već uvijek treba da se konsultuju sa svojim pojedinačnim ugovornim dokumentima.</w:t>
      </w:r>
    </w:p>
    <w:p w14:paraId="121ADF6B" w14:textId="26EF4DDA" w:rsidR="00C24BDD" w:rsidRPr="00EF2510" w:rsidRDefault="00C24B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3B36"/>
    <w:multiLevelType w:val="multilevel"/>
    <w:tmpl w:val="A136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F1307"/>
    <w:multiLevelType w:val="multilevel"/>
    <w:tmpl w:val="FED4C8A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145"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22388"/>
    <w:multiLevelType w:val="multilevel"/>
    <w:tmpl w:val="BBD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10511"/>
    <w:multiLevelType w:val="multilevel"/>
    <w:tmpl w:val="F2D0B16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429"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14528"/>
    <w:multiLevelType w:val="multilevel"/>
    <w:tmpl w:val="823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D7A59"/>
    <w:multiLevelType w:val="hybridMultilevel"/>
    <w:tmpl w:val="19A4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43477"/>
    <w:multiLevelType w:val="multilevel"/>
    <w:tmpl w:val="228CB00A"/>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7" w15:restartNumberingAfterBreak="0">
    <w:nsid w:val="2C43476F"/>
    <w:multiLevelType w:val="multilevel"/>
    <w:tmpl w:val="6A52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24CDC"/>
    <w:multiLevelType w:val="multilevel"/>
    <w:tmpl w:val="C6D8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23BF3"/>
    <w:multiLevelType w:val="multilevel"/>
    <w:tmpl w:val="1C6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F7D32"/>
    <w:multiLevelType w:val="multilevel"/>
    <w:tmpl w:val="6C00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22731"/>
    <w:multiLevelType w:val="multilevel"/>
    <w:tmpl w:val="7C962C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287"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C754C"/>
    <w:multiLevelType w:val="multilevel"/>
    <w:tmpl w:val="E7E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B69A9"/>
    <w:multiLevelType w:val="multilevel"/>
    <w:tmpl w:val="A7C2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D5757"/>
    <w:multiLevelType w:val="hybridMultilevel"/>
    <w:tmpl w:val="32E834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9C7A46"/>
    <w:multiLevelType w:val="multilevel"/>
    <w:tmpl w:val="583E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D68C2"/>
    <w:multiLevelType w:val="multilevel"/>
    <w:tmpl w:val="743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754A1"/>
    <w:multiLevelType w:val="multilevel"/>
    <w:tmpl w:val="E38C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C097E"/>
    <w:multiLevelType w:val="multilevel"/>
    <w:tmpl w:val="B53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560A52"/>
    <w:multiLevelType w:val="multilevel"/>
    <w:tmpl w:val="26F8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D4321"/>
    <w:multiLevelType w:val="multilevel"/>
    <w:tmpl w:val="11A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A255B"/>
    <w:multiLevelType w:val="multilevel"/>
    <w:tmpl w:val="16F4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D05C2"/>
    <w:multiLevelType w:val="multilevel"/>
    <w:tmpl w:val="04F6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60BBC"/>
    <w:multiLevelType w:val="multilevel"/>
    <w:tmpl w:val="C588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1B6359"/>
    <w:multiLevelType w:val="multilevel"/>
    <w:tmpl w:val="1534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25873"/>
    <w:multiLevelType w:val="multilevel"/>
    <w:tmpl w:val="1118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03414">
    <w:abstractNumId w:val="16"/>
  </w:num>
  <w:num w:numId="2" w16cid:durableId="236404704">
    <w:abstractNumId w:val="2"/>
  </w:num>
  <w:num w:numId="3" w16cid:durableId="524371742">
    <w:abstractNumId w:val="0"/>
  </w:num>
  <w:num w:numId="4" w16cid:durableId="1399208527">
    <w:abstractNumId w:val="15"/>
  </w:num>
  <w:num w:numId="5" w16cid:durableId="67969803">
    <w:abstractNumId w:val="13"/>
  </w:num>
  <w:num w:numId="6" w16cid:durableId="1372806857">
    <w:abstractNumId w:val="1"/>
  </w:num>
  <w:num w:numId="7" w16cid:durableId="2103408638">
    <w:abstractNumId w:val="22"/>
  </w:num>
  <w:num w:numId="8" w16cid:durableId="1520389709">
    <w:abstractNumId w:val="23"/>
  </w:num>
  <w:num w:numId="9" w16cid:durableId="2090344701">
    <w:abstractNumId w:val="6"/>
  </w:num>
  <w:num w:numId="10" w16cid:durableId="2121294898">
    <w:abstractNumId w:val="12"/>
  </w:num>
  <w:num w:numId="11" w16cid:durableId="260459684">
    <w:abstractNumId w:val="9"/>
  </w:num>
  <w:num w:numId="12" w16cid:durableId="843205227">
    <w:abstractNumId w:val="17"/>
  </w:num>
  <w:num w:numId="13" w16cid:durableId="1143041089">
    <w:abstractNumId w:val="11"/>
  </w:num>
  <w:num w:numId="14" w16cid:durableId="1069573078">
    <w:abstractNumId w:val="4"/>
  </w:num>
  <w:num w:numId="15" w16cid:durableId="1861385513">
    <w:abstractNumId w:val="7"/>
  </w:num>
  <w:num w:numId="16" w16cid:durableId="1070616301">
    <w:abstractNumId w:val="10"/>
  </w:num>
  <w:num w:numId="17" w16cid:durableId="1451125828">
    <w:abstractNumId w:val="3"/>
  </w:num>
  <w:num w:numId="18" w16cid:durableId="92748748">
    <w:abstractNumId w:val="21"/>
  </w:num>
  <w:num w:numId="19" w16cid:durableId="2096004873">
    <w:abstractNumId w:val="24"/>
  </w:num>
  <w:num w:numId="20" w16cid:durableId="274137851">
    <w:abstractNumId w:val="19"/>
  </w:num>
  <w:num w:numId="21" w16cid:durableId="286013148">
    <w:abstractNumId w:val="14"/>
  </w:num>
  <w:num w:numId="22" w16cid:durableId="1831287193">
    <w:abstractNumId w:val="25"/>
  </w:num>
  <w:num w:numId="23" w16cid:durableId="1195460955">
    <w:abstractNumId w:val="18"/>
  </w:num>
  <w:num w:numId="24" w16cid:durableId="1156456302">
    <w:abstractNumId w:val="20"/>
  </w:num>
  <w:num w:numId="25" w16cid:durableId="1054740373">
    <w:abstractNumId w:val="8"/>
  </w:num>
  <w:num w:numId="26" w16cid:durableId="1075128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14"/>
    <w:rsid w:val="00023EBC"/>
    <w:rsid w:val="00033B23"/>
    <w:rsid w:val="0006701C"/>
    <w:rsid w:val="00080D2A"/>
    <w:rsid w:val="000913AB"/>
    <w:rsid w:val="00091879"/>
    <w:rsid w:val="000969F3"/>
    <w:rsid w:val="000B0510"/>
    <w:rsid w:val="000C4D66"/>
    <w:rsid w:val="000C5E2C"/>
    <w:rsid w:val="000F024C"/>
    <w:rsid w:val="000F5FCD"/>
    <w:rsid w:val="00105A12"/>
    <w:rsid w:val="00115C86"/>
    <w:rsid w:val="001329EB"/>
    <w:rsid w:val="001A1586"/>
    <w:rsid w:val="001A2234"/>
    <w:rsid w:val="001A25BD"/>
    <w:rsid w:val="002245BE"/>
    <w:rsid w:val="002428B5"/>
    <w:rsid w:val="00244518"/>
    <w:rsid w:val="002508D1"/>
    <w:rsid w:val="002530DC"/>
    <w:rsid w:val="002829E5"/>
    <w:rsid w:val="002832D2"/>
    <w:rsid w:val="002923F2"/>
    <w:rsid w:val="002A72C5"/>
    <w:rsid w:val="002B7416"/>
    <w:rsid w:val="002E21AA"/>
    <w:rsid w:val="00301394"/>
    <w:rsid w:val="003524EF"/>
    <w:rsid w:val="00356AD9"/>
    <w:rsid w:val="00376EAE"/>
    <w:rsid w:val="003C0CB1"/>
    <w:rsid w:val="003C4217"/>
    <w:rsid w:val="003C6CA5"/>
    <w:rsid w:val="003D72E2"/>
    <w:rsid w:val="003F4E1E"/>
    <w:rsid w:val="003F62E7"/>
    <w:rsid w:val="00416905"/>
    <w:rsid w:val="004C5D3B"/>
    <w:rsid w:val="004E4316"/>
    <w:rsid w:val="004F5F64"/>
    <w:rsid w:val="00501DCD"/>
    <w:rsid w:val="00511FDD"/>
    <w:rsid w:val="00541FBC"/>
    <w:rsid w:val="00546E02"/>
    <w:rsid w:val="00571DA2"/>
    <w:rsid w:val="005745EB"/>
    <w:rsid w:val="005817A5"/>
    <w:rsid w:val="0059660F"/>
    <w:rsid w:val="005A67C0"/>
    <w:rsid w:val="005B7B38"/>
    <w:rsid w:val="006039B2"/>
    <w:rsid w:val="006078BD"/>
    <w:rsid w:val="00643B19"/>
    <w:rsid w:val="00661F9D"/>
    <w:rsid w:val="00685146"/>
    <w:rsid w:val="006C20E0"/>
    <w:rsid w:val="006E308E"/>
    <w:rsid w:val="00712DA1"/>
    <w:rsid w:val="007148DA"/>
    <w:rsid w:val="00754121"/>
    <w:rsid w:val="007546E5"/>
    <w:rsid w:val="00772254"/>
    <w:rsid w:val="007D5B89"/>
    <w:rsid w:val="007F5FEC"/>
    <w:rsid w:val="00815304"/>
    <w:rsid w:val="008551F6"/>
    <w:rsid w:val="008777D8"/>
    <w:rsid w:val="00896F50"/>
    <w:rsid w:val="008F7952"/>
    <w:rsid w:val="00971A4E"/>
    <w:rsid w:val="0098103C"/>
    <w:rsid w:val="009965E1"/>
    <w:rsid w:val="009A5ACE"/>
    <w:rsid w:val="00A05065"/>
    <w:rsid w:val="00A57B08"/>
    <w:rsid w:val="00A66F29"/>
    <w:rsid w:val="00A72185"/>
    <w:rsid w:val="00A74314"/>
    <w:rsid w:val="00A87E4E"/>
    <w:rsid w:val="00A92195"/>
    <w:rsid w:val="00A96AC9"/>
    <w:rsid w:val="00A96F4E"/>
    <w:rsid w:val="00AE3B19"/>
    <w:rsid w:val="00B25E5D"/>
    <w:rsid w:val="00B2659A"/>
    <w:rsid w:val="00B95175"/>
    <w:rsid w:val="00BD00B8"/>
    <w:rsid w:val="00C24BDD"/>
    <w:rsid w:val="00C337E7"/>
    <w:rsid w:val="00C35895"/>
    <w:rsid w:val="00C37B05"/>
    <w:rsid w:val="00C63CDD"/>
    <w:rsid w:val="00C707A1"/>
    <w:rsid w:val="00C73FE8"/>
    <w:rsid w:val="00C7710B"/>
    <w:rsid w:val="00C84476"/>
    <w:rsid w:val="00CA54C7"/>
    <w:rsid w:val="00CA7F74"/>
    <w:rsid w:val="00CB290B"/>
    <w:rsid w:val="00CF7AC1"/>
    <w:rsid w:val="00D2771A"/>
    <w:rsid w:val="00D7484E"/>
    <w:rsid w:val="00D75CB7"/>
    <w:rsid w:val="00DB0397"/>
    <w:rsid w:val="00E15B23"/>
    <w:rsid w:val="00E2477F"/>
    <w:rsid w:val="00E90EAE"/>
    <w:rsid w:val="00E91977"/>
    <w:rsid w:val="00EA2C7C"/>
    <w:rsid w:val="00EF2510"/>
    <w:rsid w:val="00F43F01"/>
    <w:rsid w:val="00F525EE"/>
    <w:rsid w:val="00F632AA"/>
    <w:rsid w:val="00F67581"/>
    <w:rsid w:val="00FB21F1"/>
    <w:rsid w:val="00FB7787"/>
    <w:rsid w:val="00FB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0819"/>
  <w15:chartTrackingRefBased/>
  <w15:docId w15:val="{739F27E7-5102-47C2-B30C-B0213F28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paragraph" w:styleId="Heading2">
    <w:name w:val="heading 2"/>
    <w:basedOn w:val="Normal"/>
    <w:link w:val="Heading2Char"/>
    <w:uiPriority w:val="9"/>
    <w:qFormat/>
    <w:rsid w:val="003C0CB1"/>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0C4D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F7A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C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C0CB1"/>
    <w:rPr>
      <w:b/>
      <w:bCs/>
    </w:rPr>
  </w:style>
  <w:style w:type="character" w:styleId="Emphasis">
    <w:name w:val="Emphasis"/>
    <w:basedOn w:val="DefaultParagraphFont"/>
    <w:uiPriority w:val="20"/>
    <w:qFormat/>
    <w:rsid w:val="003C0CB1"/>
    <w:rPr>
      <w:i/>
      <w:iCs/>
    </w:rPr>
  </w:style>
  <w:style w:type="paragraph" w:styleId="FootnoteText">
    <w:name w:val="footnote text"/>
    <w:aliases w:val="Fußnotentextf,Fuﬂnotentextf,Footnote Text Blue,Geneva 9,Font: Geneva 9,Boston 10,f,Podrozdział,Footnote Text Char Char Char Char Char Char,Tekst przypisu,Footnote Text Char Char Char,Footnote,Footnote Text Char1 Char,fn,ft,single space"/>
    <w:basedOn w:val="Normal"/>
    <w:link w:val="FootnoteTextChar"/>
    <w:uiPriority w:val="99"/>
    <w:unhideWhenUsed/>
    <w:qFormat/>
    <w:rsid w:val="003C0CB1"/>
    <w:pPr>
      <w:spacing w:after="0" w:line="240" w:lineRule="auto"/>
    </w:pPr>
    <w:rPr>
      <w:sz w:val="20"/>
      <w:szCs w:val="20"/>
    </w:rPr>
  </w:style>
  <w:style w:type="character" w:customStyle="1" w:styleId="FootnoteTextChar">
    <w:name w:val="Footnote Text Char"/>
    <w:aliases w:val="Fußnotentextf Char,Fuﬂnotentextf Char,Footnote Text Blue Char,Geneva 9 Char,Font: Geneva 9 Char,Boston 10 Char,f Char,Podrozdział Char,Footnote Text Char Char Char Char Char Char Char,Tekst przypisu Char,Footnote Char,fn Char,ft Char"/>
    <w:basedOn w:val="DefaultParagraphFont"/>
    <w:link w:val="FootnoteText"/>
    <w:uiPriority w:val="99"/>
    <w:qFormat/>
    <w:rsid w:val="003C0CB1"/>
    <w:rPr>
      <w:noProof/>
      <w:sz w:val="20"/>
      <w:szCs w:val="20"/>
      <w:lang w:val="sr-Latn-ME"/>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Char Char,BVI fnr Zchn,BVI fnr Car Z"/>
    <w:basedOn w:val="DefaultParagraphFont"/>
    <w:link w:val="Char2"/>
    <w:uiPriority w:val="99"/>
    <w:unhideWhenUsed/>
    <w:qFormat/>
    <w:rsid w:val="003C0CB1"/>
    <w:rPr>
      <w:vertAlign w:val="superscript"/>
    </w:rPr>
  </w:style>
  <w:style w:type="character" w:styleId="Hyperlink">
    <w:name w:val="Hyperlink"/>
    <w:basedOn w:val="DefaultParagraphFont"/>
    <w:uiPriority w:val="99"/>
    <w:unhideWhenUsed/>
    <w:rsid w:val="003C0CB1"/>
    <w:rPr>
      <w:color w:val="0563C1" w:themeColor="hyperlink"/>
      <w:u w:val="single"/>
    </w:rPr>
  </w:style>
  <w:style w:type="character" w:styleId="UnresolvedMention">
    <w:name w:val="Unresolved Mention"/>
    <w:basedOn w:val="DefaultParagraphFont"/>
    <w:uiPriority w:val="99"/>
    <w:semiHidden/>
    <w:unhideWhenUsed/>
    <w:rsid w:val="003C0CB1"/>
    <w:rPr>
      <w:color w:val="605E5C"/>
      <w:shd w:val="clear" w:color="auto" w:fill="E1DFDD"/>
    </w:rPr>
  </w:style>
  <w:style w:type="paragraph" w:styleId="Header">
    <w:name w:val="header"/>
    <w:basedOn w:val="Normal"/>
    <w:link w:val="HeaderChar"/>
    <w:uiPriority w:val="99"/>
    <w:unhideWhenUsed/>
    <w:rsid w:val="003C0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CB1"/>
    <w:rPr>
      <w:noProof/>
      <w:lang w:val="sr-Latn-ME"/>
    </w:rPr>
  </w:style>
  <w:style w:type="paragraph" w:styleId="Footer">
    <w:name w:val="footer"/>
    <w:basedOn w:val="Normal"/>
    <w:link w:val="FooterChar"/>
    <w:uiPriority w:val="99"/>
    <w:unhideWhenUsed/>
    <w:rsid w:val="003C0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CB1"/>
    <w:rPr>
      <w:noProof/>
      <w:lang w:val="sr-Latn-ME"/>
    </w:rPr>
  </w:style>
  <w:style w:type="character" w:customStyle="1" w:styleId="Heading2Char">
    <w:name w:val="Heading 2 Char"/>
    <w:basedOn w:val="DefaultParagraphFont"/>
    <w:link w:val="Heading2"/>
    <w:uiPriority w:val="9"/>
    <w:rsid w:val="003C0CB1"/>
    <w:rPr>
      <w:rFonts w:ascii="Times New Roman" w:eastAsia="Times New Roman" w:hAnsi="Times New Roman" w:cs="Times New Roman"/>
      <w:b/>
      <w:bCs/>
      <w:sz w:val="36"/>
      <w:szCs w:val="36"/>
      <w:lang w:eastAsia="en-GB"/>
    </w:rPr>
  </w:style>
  <w:style w:type="table" w:styleId="TableGrid">
    <w:name w:val="Table Grid"/>
    <w:basedOn w:val="TableNormal"/>
    <w:uiPriority w:val="59"/>
    <w:rsid w:val="003C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7952"/>
    <w:pPr>
      <w:tabs>
        <w:tab w:val="left" w:pos="284"/>
        <w:tab w:val="right" w:pos="9628"/>
      </w:tabs>
      <w:spacing w:after="240" w:line="240" w:lineRule="auto"/>
      <w:ind w:left="284" w:hanging="284"/>
      <w:jc w:val="both"/>
    </w:pPr>
    <w:rPr>
      <w:rFonts w:ascii="Times New Roman Bold" w:eastAsia="Times New Roman" w:hAnsi="Times New Roman Bold" w:cs="Times New Roman"/>
      <w:b/>
      <w:caps/>
      <w:szCs w:val="20"/>
      <w:lang w:val="en-GB"/>
    </w:rPr>
  </w:style>
  <w:style w:type="paragraph" w:styleId="TOC2">
    <w:name w:val="toc 2"/>
    <w:basedOn w:val="Normal"/>
    <w:next w:val="Normal"/>
    <w:autoRedefine/>
    <w:uiPriority w:val="39"/>
    <w:semiHidden/>
    <w:unhideWhenUsed/>
    <w:qFormat/>
    <w:rsid w:val="008F7952"/>
    <w:pPr>
      <w:tabs>
        <w:tab w:val="left" w:pos="709"/>
        <w:tab w:val="right" w:leader="dot" w:pos="9628"/>
      </w:tabs>
      <w:spacing w:after="80" w:line="240" w:lineRule="auto"/>
      <w:ind w:left="709" w:hanging="425"/>
      <w:jc w:val="both"/>
    </w:pPr>
    <w:rPr>
      <w:rFonts w:ascii="Times New Roman" w:eastAsia="Times New Roman" w:hAnsi="Times New Roman" w:cs="Times New Roman"/>
      <w:szCs w:val="20"/>
      <w:lang w:val="en-GB"/>
    </w:rPr>
  </w:style>
  <w:style w:type="paragraph" w:styleId="TOC3">
    <w:name w:val="toc 3"/>
    <w:basedOn w:val="Normal"/>
    <w:next w:val="Normal"/>
    <w:autoRedefine/>
    <w:uiPriority w:val="39"/>
    <w:semiHidden/>
    <w:unhideWhenUsed/>
    <w:qFormat/>
    <w:rsid w:val="008F7952"/>
    <w:pPr>
      <w:tabs>
        <w:tab w:val="left" w:pos="1134"/>
        <w:tab w:val="right" w:leader="dot" w:pos="9628"/>
      </w:tabs>
      <w:spacing w:after="40" w:line="240" w:lineRule="auto"/>
      <w:ind w:left="1701" w:hanging="1134"/>
      <w:jc w:val="both"/>
    </w:pPr>
    <w:rPr>
      <w:rFonts w:ascii="Times New Roman" w:eastAsia="Times New Roman" w:hAnsi="Times New Roman" w:cs="Times New Roman"/>
      <w:noProof/>
      <w:sz w:val="20"/>
      <w:szCs w:val="20"/>
      <w:lang w:val="en-GB"/>
    </w:rPr>
  </w:style>
  <w:style w:type="character" w:customStyle="1" w:styleId="Heading3Char">
    <w:name w:val="Heading 3 Char"/>
    <w:basedOn w:val="DefaultParagraphFont"/>
    <w:link w:val="Heading3"/>
    <w:uiPriority w:val="9"/>
    <w:semiHidden/>
    <w:rsid w:val="000C4D66"/>
    <w:rPr>
      <w:rFonts w:asciiTheme="majorHAnsi" w:eastAsiaTheme="majorEastAsia" w:hAnsiTheme="majorHAnsi" w:cstheme="majorBidi"/>
      <w:color w:val="1F3763" w:themeColor="accent1" w:themeShade="7F"/>
      <w:sz w:val="24"/>
      <w:szCs w:val="24"/>
      <w:lang w:val="sr-Latn-ME"/>
    </w:rPr>
  </w:style>
  <w:style w:type="character" w:customStyle="1" w:styleId="Heading4Char">
    <w:name w:val="Heading 4 Char"/>
    <w:basedOn w:val="DefaultParagraphFont"/>
    <w:link w:val="Heading4"/>
    <w:uiPriority w:val="9"/>
    <w:semiHidden/>
    <w:rsid w:val="00CF7AC1"/>
    <w:rPr>
      <w:rFonts w:asciiTheme="majorHAnsi" w:eastAsiaTheme="majorEastAsia" w:hAnsiTheme="majorHAnsi" w:cstheme="majorBidi"/>
      <w:i/>
      <w:iCs/>
      <w:color w:val="2F5496" w:themeColor="accent1" w:themeShade="BF"/>
      <w:lang w:val="sr-Latn-ME"/>
    </w:rPr>
  </w:style>
  <w:style w:type="paragraph" w:customStyle="1" w:styleId="Char2">
    <w:name w:val="Char2"/>
    <w:basedOn w:val="Normal"/>
    <w:link w:val="FootnoteReference"/>
    <w:uiPriority w:val="99"/>
    <w:rsid w:val="00712DA1"/>
    <w:pPr>
      <w:spacing w:before="120" w:line="240" w:lineRule="exact"/>
    </w:pPr>
    <w:rPr>
      <w:vertAlign w:val="superscript"/>
      <w:lang w:val="en-GB"/>
    </w:rPr>
  </w:style>
  <w:style w:type="paragraph" w:styleId="ListParagraph">
    <w:name w:val="List Paragraph"/>
    <w:basedOn w:val="Normal"/>
    <w:uiPriority w:val="34"/>
    <w:qFormat/>
    <w:rsid w:val="001A2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132">
      <w:bodyDiv w:val="1"/>
      <w:marLeft w:val="0"/>
      <w:marRight w:val="0"/>
      <w:marTop w:val="0"/>
      <w:marBottom w:val="0"/>
      <w:divBdr>
        <w:top w:val="none" w:sz="0" w:space="0" w:color="auto"/>
        <w:left w:val="none" w:sz="0" w:space="0" w:color="auto"/>
        <w:bottom w:val="none" w:sz="0" w:space="0" w:color="auto"/>
        <w:right w:val="none" w:sz="0" w:space="0" w:color="auto"/>
      </w:divBdr>
    </w:div>
    <w:div w:id="85461238">
      <w:bodyDiv w:val="1"/>
      <w:marLeft w:val="0"/>
      <w:marRight w:val="0"/>
      <w:marTop w:val="0"/>
      <w:marBottom w:val="0"/>
      <w:divBdr>
        <w:top w:val="none" w:sz="0" w:space="0" w:color="auto"/>
        <w:left w:val="none" w:sz="0" w:space="0" w:color="auto"/>
        <w:bottom w:val="none" w:sz="0" w:space="0" w:color="auto"/>
        <w:right w:val="none" w:sz="0" w:space="0" w:color="auto"/>
      </w:divBdr>
    </w:div>
    <w:div w:id="101923879">
      <w:bodyDiv w:val="1"/>
      <w:marLeft w:val="0"/>
      <w:marRight w:val="0"/>
      <w:marTop w:val="0"/>
      <w:marBottom w:val="0"/>
      <w:divBdr>
        <w:top w:val="none" w:sz="0" w:space="0" w:color="auto"/>
        <w:left w:val="none" w:sz="0" w:space="0" w:color="auto"/>
        <w:bottom w:val="none" w:sz="0" w:space="0" w:color="auto"/>
        <w:right w:val="none" w:sz="0" w:space="0" w:color="auto"/>
      </w:divBdr>
    </w:div>
    <w:div w:id="128518326">
      <w:bodyDiv w:val="1"/>
      <w:marLeft w:val="0"/>
      <w:marRight w:val="0"/>
      <w:marTop w:val="0"/>
      <w:marBottom w:val="0"/>
      <w:divBdr>
        <w:top w:val="none" w:sz="0" w:space="0" w:color="auto"/>
        <w:left w:val="none" w:sz="0" w:space="0" w:color="auto"/>
        <w:bottom w:val="none" w:sz="0" w:space="0" w:color="auto"/>
        <w:right w:val="none" w:sz="0" w:space="0" w:color="auto"/>
      </w:divBdr>
    </w:div>
    <w:div w:id="193346240">
      <w:bodyDiv w:val="1"/>
      <w:marLeft w:val="0"/>
      <w:marRight w:val="0"/>
      <w:marTop w:val="0"/>
      <w:marBottom w:val="0"/>
      <w:divBdr>
        <w:top w:val="none" w:sz="0" w:space="0" w:color="auto"/>
        <w:left w:val="none" w:sz="0" w:space="0" w:color="auto"/>
        <w:bottom w:val="none" w:sz="0" w:space="0" w:color="auto"/>
        <w:right w:val="none" w:sz="0" w:space="0" w:color="auto"/>
      </w:divBdr>
    </w:div>
    <w:div w:id="373966565">
      <w:bodyDiv w:val="1"/>
      <w:marLeft w:val="0"/>
      <w:marRight w:val="0"/>
      <w:marTop w:val="0"/>
      <w:marBottom w:val="0"/>
      <w:divBdr>
        <w:top w:val="none" w:sz="0" w:space="0" w:color="auto"/>
        <w:left w:val="none" w:sz="0" w:space="0" w:color="auto"/>
        <w:bottom w:val="none" w:sz="0" w:space="0" w:color="auto"/>
        <w:right w:val="none" w:sz="0" w:space="0" w:color="auto"/>
      </w:divBdr>
    </w:div>
    <w:div w:id="402143263">
      <w:bodyDiv w:val="1"/>
      <w:marLeft w:val="0"/>
      <w:marRight w:val="0"/>
      <w:marTop w:val="0"/>
      <w:marBottom w:val="0"/>
      <w:divBdr>
        <w:top w:val="none" w:sz="0" w:space="0" w:color="auto"/>
        <w:left w:val="none" w:sz="0" w:space="0" w:color="auto"/>
        <w:bottom w:val="none" w:sz="0" w:space="0" w:color="auto"/>
        <w:right w:val="none" w:sz="0" w:space="0" w:color="auto"/>
      </w:divBdr>
    </w:div>
    <w:div w:id="421999155">
      <w:bodyDiv w:val="1"/>
      <w:marLeft w:val="0"/>
      <w:marRight w:val="0"/>
      <w:marTop w:val="0"/>
      <w:marBottom w:val="0"/>
      <w:divBdr>
        <w:top w:val="none" w:sz="0" w:space="0" w:color="auto"/>
        <w:left w:val="none" w:sz="0" w:space="0" w:color="auto"/>
        <w:bottom w:val="none" w:sz="0" w:space="0" w:color="auto"/>
        <w:right w:val="none" w:sz="0" w:space="0" w:color="auto"/>
      </w:divBdr>
    </w:div>
    <w:div w:id="461845893">
      <w:bodyDiv w:val="1"/>
      <w:marLeft w:val="0"/>
      <w:marRight w:val="0"/>
      <w:marTop w:val="0"/>
      <w:marBottom w:val="0"/>
      <w:divBdr>
        <w:top w:val="none" w:sz="0" w:space="0" w:color="auto"/>
        <w:left w:val="none" w:sz="0" w:space="0" w:color="auto"/>
        <w:bottom w:val="none" w:sz="0" w:space="0" w:color="auto"/>
        <w:right w:val="none" w:sz="0" w:space="0" w:color="auto"/>
      </w:divBdr>
    </w:div>
    <w:div w:id="581179705">
      <w:bodyDiv w:val="1"/>
      <w:marLeft w:val="0"/>
      <w:marRight w:val="0"/>
      <w:marTop w:val="0"/>
      <w:marBottom w:val="0"/>
      <w:divBdr>
        <w:top w:val="none" w:sz="0" w:space="0" w:color="auto"/>
        <w:left w:val="none" w:sz="0" w:space="0" w:color="auto"/>
        <w:bottom w:val="none" w:sz="0" w:space="0" w:color="auto"/>
        <w:right w:val="none" w:sz="0" w:space="0" w:color="auto"/>
      </w:divBdr>
    </w:div>
    <w:div w:id="601032382">
      <w:bodyDiv w:val="1"/>
      <w:marLeft w:val="0"/>
      <w:marRight w:val="0"/>
      <w:marTop w:val="0"/>
      <w:marBottom w:val="0"/>
      <w:divBdr>
        <w:top w:val="none" w:sz="0" w:space="0" w:color="auto"/>
        <w:left w:val="none" w:sz="0" w:space="0" w:color="auto"/>
        <w:bottom w:val="none" w:sz="0" w:space="0" w:color="auto"/>
        <w:right w:val="none" w:sz="0" w:space="0" w:color="auto"/>
      </w:divBdr>
    </w:div>
    <w:div w:id="607005761">
      <w:bodyDiv w:val="1"/>
      <w:marLeft w:val="0"/>
      <w:marRight w:val="0"/>
      <w:marTop w:val="0"/>
      <w:marBottom w:val="0"/>
      <w:divBdr>
        <w:top w:val="none" w:sz="0" w:space="0" w:color="auto"/>
        <w:left w:val="none" w:sz="0" w:space="0" w:color="auto"/>
        <w:bottom w:val="none" w:sz="0" w:space="0" w:color="auto"/>
        <w:right w:val="none" w:sz="0" w:space="0" w:color="auto"/>
      </w:divBdr>
    </w:div>
    <w:div w:id="629631283">
      <w:bodyDiv w:val="1"/>
      <w:marLeft w:val="0"/>
      <w:marRight w:val="0"/>
      <w:marTop w:val="0"/>
      <w:marBottom w:val="0"/>
      <w:divBdr>
        <w:top w:val="none" w:sz="0" w:space="0" w:color="auto"/>
        <w:left w:val="none" w:sz="0" w:space="0" w:color="auto"/>
        <w:bottom w:val="none" w:sz="0" w:space="0" w:color="auto"/>
        <w:right w:val="none" w:sz="0" w:space="0" w:color="auto"/>
      </w:divBdr>
    </w:div>
    <w:div w:id="657880893">
      <w:bodyDiv w:val="1"/>
      <w:marLeft w:val="0"/>
      <w:marRight w:val="0"/>
      <w:marTop w:val="0"/>
      <w:marBottom w:val="0"/>
      <w:divBdr>
        <w:top w:val="none" w:sz="0" w:space="0" w:color="auto"/>
        <w:left w:val="none" w:sz="0" w:space="0" w:color="auto"/>
        <w:bottom w:val="none" w:sz="0" w:space="0" w:color="auto"/>
        <w:right w:val="none" w:sz="0" w:space="0" w:color="auto"/>
      </w:divBdr>
    </w:div>
    <w:div w:id="701981021">
      <w:bodyDiv w:val="1"/>
      <w:marLeft w:val="0"/>
      <w:marRight w:val="0"/>
      <w:marTop w:val="0"/>
      <w:marBottom w:val="0"/>
      <w:divBdr>
        <w:top w:val="none" w:sz="0" w:space="0" w:color="auto"/>
        <w:left w:val="none" w:sz="0" w:space="0" w:color="auto"/>
        <w:bottom w:val="none" w:sz="0" w:space="0" w:color="auto"/>
        <w:right w:val="none" w:sz="0" w:space="0" w:color="auto"/>
      </w:divBdr>
    </w:div>
    <w:div w:id="850072032">
      <w:bodyDiv w:val="1"/>
      <w:marLeft w:val="0"/>
      <w:marRight w:val="0"/>
      <w:marTop w:val="0"/>
      <w:marBottom w:val="0"/>
      <w:divBdr>
        <w:top w:val="none" w:sz="0" w:space="0" w:color="auto"/>
        <w:left w:val="none" w:sz="0" w:space="0" w:color="auto"/>
        <w:bottom w:val="none" w:sz="0" w:space="0" w:color="auto"/>
        <w:right w:val="none" w:sz="0" w:space="0" w:color="auto"/>
      </w:divBdr>
    </w:div>
    <w:div w:id="882641638">
      <w:bodyDiv w:val="1"/>
      <w:marLeft w:val="0"/>
      <w:marRight w:val="0"/>
      <w:marTop w:val="0"/>
      <w:marBottom w:val="0"/>
      <w:divBdr>
        <w:top w:val="none" w:sz="0" w:space="0" w:color="auto"/>
        <w:left w:val="none" w:sz="0" w:space="0" w:color="auto"/>
        <w:bottom w:val="none" w:sz="0" w:space="0" w:color="auto"/>
        <w:right w:val="none" w:sz="0" w:space="0" w:color="auto"/>
      </w:divBdr>
    </w:div>
    <w:div w:id="932131294">
      <w:bodyDiv w:val="1"/>
      <w:marLeft w:val="0"/>
      <w:marRight w:val="0"/>
      <w:marTop w:val="0"/>
      <w:marBottom w:val="0"/>
      <w:divBdr>
        <w:top w:val="none" w:sz="0" w:space="0" w:color="auto"/>
        <w:left w:val="none" w:sz="0" w:space="0" w:color="auto"/>
        <w:bottom w:val="none" w:sz="0" w:space="0" w:color="auto"/>
        <w:right w:val="none" w:sz="0" w:space="0" w:color="auto"/>
      </w:divBdr>
    </w:div>
    <w:div w:id="1026758628">
      <w:bodyDiv w:val="1"/>
      <w:marLeft w:val="0"/>
      <w:marRight w:val="0"/>
      <w:marTop w:val="0"/>
      <w:marBottom w:val="0"/>
      <w:divBdr>
        <w:top w:val="none" w:sz="0" w:space="0" w:color="auto"/>
        <w:left w:val="none" w:sz="0" w:space="0" w:color="auto"/>
        <w:bottom w:val="none" w:sz="0" w:space="0" w:color="auto"/>
        <w:right w:val="none" w:sz="0" w:space="0" w:color="auto"/>
      </w:divBdr>
    </w:div>
    <w:div w:id="1056931215">
      <w:bodyDiv w:val="1"/>
      <w:marLeft w:val="0"/>
      <w:marRight w:val="0"/>
      <w:marTop w:val="0"/>
      <w:marBottom w:val="0"/>
      <w:divBdr>
        <w:top w:val="none" w:sz="0" w:space="0" w:color="auto"/>
        <w:left w:val="none" w:sz="0" w:space="0" w:color="auto"/>
        <w:bottom w:val="none" w:sz="0" w:space="0" w:color="auto"/>
        <w:right w:val="none" w:sz="0" w:space="0" w:color="auto"/>
      </w:divBdr>
    </w:div>
    <w:div w:id="1067993086">
      <w:bodyDiv w:val="1"/>
      <w:marLeft w:val="0"/>
      <w:marRight w:val="0"/>
      <w:marTop w:val="0"/>
      <w:marBottom w:val="0"/>
      <w:divBdr>
        <w:top w:val="none" w:sz="0" w:space="0" w:color="auto"/>
        <w:left w:val="none" w:sz="0" w:space="0" w:color="auto"/>
        <w:bottom w:val="none" w:sz="0" w:space="0" w:color="auto"/>
        <w:right w:val="none" w:sz="0" w:space="0" w:color="auto"/>
      </w:divBdr>
    </w:div>
    <w:div w:id="1071389230">
      <w:bodyDiv w:val="1"/>
      <w:marLeft w:val="0"/>
      <w:marRight w:val="0"/>
      <w:marTop w:val="0"/>
      <w:marBottom w:val="0"/>
      <w:divBdr>
        <w:top w:val="none" w:sz="0" w:space="0" w:color="auto"/>
        <w:left w:val="none" w:sz="0" w:space="0" w:color="auto"/>
        <w:bottom w:val="none" w:sz="0" w:space="0" w:color="auto"/>
        <w:right w:val="none" w:sz="0" w:space="0" w:color="auto"/>
      </w:divBdr>
    </w:div>
    <w:div w:id="1164659824">
      <w:bodyDiv w:val="1"/>
      <w:marLeft w:val="0"/>
      <w:marRight w:val="0"/>
      <w:marTop w:val="0"/>
      <w:marBottom w:val="0"/>
      <w:divBdr>
        <w:top w:val="none" w:sz="0" w:space="0" w:color="auto"/>
        <w:left w:val="none" w:sz="0" w:space="0" w:color="auto"/>
        <w:bottom w:val="none" w:sz="0" w:space="0" w:color="auto"/>
        <w:right w:val="none" w:sz="0" w:space="0" w:color="auto"/>
      </w:divBdr>
    </w:div>
    <w:div w:id="1197039725">
      <w:bodyDiv w:val="1"/>
      <w:marLeft w:val="0"/>
      <w:marRight w:val="0"/>
      <w:marTop w:val="0"/>
      <w:marBottom w:val="0"/>
      <w:divBdr>
        <w:top w:val="none" w:sz="0" w:space="0" w:color="auto"/>
        <w:left w:val="none" w:sz="0" w:space="0" w:color="auto"/>
        <w:bottom w:val="none" w:sz="0" w:space="0" w:color="auto"/>
        <w:right w:val="none" w:sz="0" w:space="0" w:color="auto"/>
      </w:divBdr>
    </w:div>
    <w:div w:id="1252393750">
      <w:bodyDiv w:val="1"/>
      <w:marLeft w:val="0"/>
      <w:marRight w:val="0"/>
      <w:marTop w:val="0"/>
      <w:marBottom w:val="0"/>
      <w:divBdr>
        <w:top w:val="none" w:sz="0" w:space="0" w:color="auto"/>
        <w:left w:val="none" w:sz="0" w:space="0" w:color="auto"/>
        <w:bottom w:val="none" w:sz="0" w:space="0" w:color="auto"/>
        <w:right w:val="none" w:sz="0" w:space="0" w:color="auto"/>
      </w:divBdr>
    </w:div>
    <w:div w:id="1261067908">
      <w:bodyDiv w:val="1"/>
      <w:marLeft w:val="0"/>
      <w:marRight w:val="0"/>
      <w:marTop w:val="0"/>
      <w:marBottom w:val="0"/>
      <w:divBdr>
        <w:top w:val="none" w:sz="0" w:space="0" w:color="auto"/>
        <w:left w:val="none" w:sz="0" w:space="0" w:color="auto"/>
        <w:bottom w:val="none" w:sz="0" w:space="0" w:color="auto"/>
        <w:right w:val="none" w:sz="0" w:space="0" w:color="auto"/>
      </w:divBdr>
    </w:div>
    <w:div w:id="1306619549">
      <w:bodyDiv w:val="1"/>
      <w:marLeft w:val="0"/>
      <w:marRight w:val="0"/>
      <w:marTop w:val="0"/>
      <w:marBottom w:val="0"/>
      <w:divBdr>
        <w:top w:val="none" w:sz="0" w:space="0" w:color="auto"/>
        <w:left w:val="none" w:sz="0" w:space="0" w:color="auto"/>
        <w:bottom w:val="none" w:sz="0" w:space="0" w:color="auto"/>
        <w:right w:val="none" w:sz="0" w:space="0" w:color="auto"/>
      </w:divBdr>
    </w:div>
    <w:div w:id="1337343447">
      <w:bodyDiv w:val="1"/>
      <w:marLeft w:val="0"/>
      <w:marRight w:val="0"/>
      <w:marTop w:val="0"/>
      <w:marBottom w:val="0"/>
      <w:divBdr>
        <w:top w:val="none" w:sz="0" w:space="0" w:color="auto"/>
        <w:left w:val="none" w:sz="0" w:space="0" w:color="auto"/>
        <w:bottom w:val="none" w:sz="0" w:space="0" w:color="auto"/>
        <w:right w:val="none" w:sz="0" w:space="0" w:color="auto"/>
      </w:divBdr>
    </w:div>
    <w:div w:id="1338970492">
      <w:bodyDiv w:val="1"/>
      <w:marLeft w:val="0"/>
      <w:marRight w:val="0"/>
      <w:marTop w:val="0"/>
      <w:marBottom w:val="0"/>
      <w:divBdr>
        <w:top w:val="none" w:sz="0" w:space="0" w:color="auto"/>
        <w:left w:val="none" w:sz="0" w:space="0" w:color="auto"/>
        <w:bottom w:val="none" w:sz="0" w:space="0" w:color="auto"/>
        <w:right w:val="none" w:sz="0" w:space="0" w:color="auto"/>
      </w:divBdr>
    </w:div>
    <w:div w:id="1395395620">
      <w:bodyDiv w:val="1"/>
      <w:marLeft w:val="0"/>
      <w:marRight w:val="0"/>
      <w:marTop w:val="0"/>
      <w:marBottom w:val="0"/>
      <w:divBdr>
        <w:top w:val="none" w:sz="0" w:space="0" w:color="auto"/>
        <w:left w:val="none" w:sz="0" w:space="0" w:color="auto"/>
        <w:bottom w:val="none" w:sz="0" w:space="0" w:color="auto"/>
        <w:right w:val="none" w:sz="0" w:space="0" w:color="auto"/>
      </w:divBdr>
    </w:div>
    <w:div w:id="1401251055">
      <w:bodyDiv w:val="1"/>
      <w:marLeft w:val="0"/>
      <w:marRight w:val="0"/>
      <w:marTop w:val="0"/>
      <w:marBottom w:val="0"/>
      <w:divBdr>
        <w:top w:val="none" w:sz="0" w:space="0" w:color="auto"/>
        <w:left w:val="none" w:sz="0" w:space="0" w:color="auto"/>
        <w:bottom w:val="none" w:sz="0" w:space="0" w:color="auto"/>
        <w:right w:val="none" w:sz="0" w:space="0" w:color="auto"/>
      </w:divBdr>
    </w:div>
    <w:div w:id="1409158866">
      <w:bodyDiv w:val="1"/>
      <w:marLeft w:val="0"/>
      <w:marRight w:val="0"/>
      <w:marTop w:val="0"/>
      <w:marBottom w:val="0"/>
      <w:divBdr>
        <w:top w:val="none" w:sz="0" w:space="0" w:color="auto"/>
        <w:left w:val="none" w:sz="0" w:space="0" w:color="auto"/>
        <w:bottom w:val="none" w:sz="0" w:space="0" w:color="auto"/>
        <w:right w:val="none" w:sz="0" w:space="0" w:color="auto"/>
      </w:divBdr>
    </w:div>
    <w:div w:id="1431507365">
      <w:bodyDiv w:val="1"/>
      <w:marLeft w:val="0"/>
      <w:marRight w:val="0"/>
      <w:marTop w:val="0"/>
      <w:marBottom w:val="0"/>
      <w:divBdr>
        <w:top w:val="none" w:sz="0" w:space="0" w:color="auto"/>
        <w:left w:val="none" w:sz="0" w:space="0" w:color="auto"/>
        <w:bottom w:val="none" w:sz="0" w:space="0" w:color="auto"/>
        <w:right w:val="none" w:sz="0" w:space="0" w:color="auto"/>
      </w:divBdr>
    </w:div>
    <w:div w:id="1471052263">
      <w:bodyDiv w:val="1"/>
      <w:marLeft w:val="0"/>
      <w:marRight w:val="0"/>
      <w:marTop w:val="0"/>
      <w:marBottom w:val="0"/>
      <w:divBdr>
        <w:top w:val="none" w:sz="0" w:space="0" w:color="auto"/>
        <w:left w:val="none" w:sz="0" w:space="0" w:color="auto"/>
        <w:bottom w:val="none" w:sz="0" w:space="0" w:color="auto"/>
        <w:right w:val="none" w:sz="0" w:space="0" w:color="auto"/>
      </w:divBdr>
    </w:div>
    <w:div w:id="1588615586">
      <w:bodyDiv w:val="1"/>
      <w:marLeft w:val="0"/>
      <w:marRight w:val="0"/>
      <w:marTop w:val="0"/>
      <w:marBottom w:val="0"/>
      <w:divBdr>
        <w:top w:val="none" w:sz="0" w:space="0" w:color="auto"/>
        <w:left w:val="none" w:sz="0" w:space="0" w:color="auto"/>
        <w:bottom w:val="none" w:sz="0" w:space="0" w:color="auto"/>
        <w:right w:val="none" w:sz="0" w:space="0" w:color="auto"/>
      </w:divBdr>
    </w:div>
    <w:div w:id="1685479839">
      <w:bodyDiv w:val="1"/>
      <w:marLeft w:val="0"/>
      <w:marRight w:val="0"/>
      <w:marTop w:val="0"/>
      <w:marBottom w:val="0"/>
      <w:divBdr>
        <w:top w:val="none" w:sz="0" w:space="0" w:color="auto"/>
        <w:left w:val="none" w:sz="0" w:space="0" w:color="auto"/>
        <w:bottom w:val="none" w:sz="0" w:space="0" w:color="auto"/>
        <w:right w:val="none" w:sz="0" w:space="0" w:color="auto"/>
      </w:divBdr>
    </w:div>
    <w:div w:id="1693263822">
      <w:bodyDiv w:val="1"/>
      <w:marLeft w:val="0"/>
      <w:marRight w:val="0"/>
      <w:marTop w:val="0"/>
      <w:marBottom w:val="0"/>
      <w:divBdr>
        <w:top w:val="none" w:sz="0" w:space="0" w:color="auto"/>
        <w:left w:val="none" w:sz="0" w:space="0" w:color="auto"/>
        <w:bottom w:val="none" w:sz="0" w:space="0" w:color="auto"/>
        <w:right w:val="none" w:sz="0" w:space="0" w:color="auto"/>
      </w:divBdr>
    </w:div>
    <w:div w:id="1730611625">
      <w:bodyDiv w:val="1"/>
      <w:marLeft w:val="0"/>
      <w:marRight w:val="0"/>
      <w:marTop w:val="0"/>
      <w:marBottom w:val="0"/>
      <w:divBdr>
        <w:top w:val="none" w:sz="0" w:space="0" w:color="auto"/>
        <w:left w:val="none" w:sz="0" w:space="0" w:color="auto"/>
        <w:bottom w:val="none" w:sz="0" w:space="0" w:color="auto"/>
        <w:right w:val="none" w:sz="0" w:space="0" w:color="auto"/>
      </w:divBdr>
    </w:div>
    <w:div w:id="1755203236">
      <w:bodyDiv w:val="1"/>
      <w:marLeft w:val="0"/>
      <w:marRight w:val="0"/>
      <w:marTop w:val="0"/>
      <w:marBottom w:val="0"/>
      <w:divBdr>
        <w:top w:val="none" w:sz="0" w:space="0" w:color="auto"/>
        <w:left w:val="none" w:sz="0" w:space="0" w:color="auto"/>
        <w:bottom w:val="none" w:sz="0" w:space="0" w:color="auto"/>
        <w:right w:val="none" w:sz="0" w:space="0" w:color="auto"/>
      </w:divBdr>
    </w:div>
    <w:div w:id="1788307382">
      <w:bodyDiv w:val="1"/>
      <w:marLeft w:val="0"/>
      <w:marRight w:val="0"/>
      <w:marTop w:val="0"/>
      <w:marBottom w:val="0"/>
      <w:divBdr>
        <w:top w:val="none" w:sz="0" w:space="0" w:color="auto"/>
        <w:left w:val="none" w:sz="0" w:space="0" w:color="auto"/>
        <w:bottom w:val="none" w:sz="0" w:space="0" w:color="auto"/>
        <w:right w:val="none" w:sz="0" w:space="0" w:color="auto"/>
      </w:divBdr>
    </w:div>
    <w:div w:id="1810903020">
      <w:bodyDiv w:val="1"/>
      <w:marLeft w:val="0"/>
      <w:marRight w:val="0"/>
      <w:marTop w:val="0"/>
      <w:marBottom w:val="0"/>
      <w:divBdr>
        <w:top w:val="none" w:sz="0" w:space="0" w:color="auto"/>
        <w:left w:val="none" w:sz="0" w:space="0" w:color="auto"/>
        <w:bottom w:val="none" w:sz="0" w:space="0" w:color="auto"/>
        <w:right w:val="none" w:sz="0" w:space="0" w:color="auto"/>
      </w:divBdr>
    </w:div>
    <w:div w:id="1822504772">
      <w:bodyDiv w:val="1"/>
      <w:marLeft w:val="0"/>
      <w:marRight w:val="0"/>
      <w:marTop w:val="0"/>
      <w:marBottom w:val="0"/>
      <w:divBdr>
        <w:top w:val="none" w:sz="0" w:space="0" w:color="auto"/>
        <w:left w:val="none" w:sz="0" w:space="0" w:color="auto"/>
        <w:bottom w:val="none" w:sz="0" w:space="0" w:color="auto"/>
        <w:right w:val="none" w:sz="0" w:space="0" w:color="auto"/>
      </w:divBdr>
    </w:div>
    <w:div w:id="1829442003">
      <w:bodyDiv w:val="1"/>
      <w:marLeft w:val="0"/>
      <w:marRight w:val="0"/>
      <w:marTop w:val="0"/>
      <w:marBottom w:val="0"/>
      <w:divBdr>
        <w:top w:val="none" w:sz="0" w:space="0" w:color="auto"/>
        <w:left w:val="none" w:sz="0" w:space="0" w:color="auto"/>
        <w:bottom w:val="none" w:sz="0" w:space="0" w:color="auto"/>
        <w:right w:val="none" w:sz="0" w:space="0" w:color="auto"/>
      </w:divBdr>
    </w:div>
    <w:div w:id="1927151760">
      <w:bodyDiv w:val="1"/>
      <w:marLeft w:val="0"/>
      <w:marRight w:val="0"/>
      <w:marTop w:val="0"/>
      <w:marBottom w:val="0"/>
      <w:divBdr>
        <w:top w:val="none" w:sz="0" w:space="0" w:color="auto"/>
        <w:left w:val="none" w:sz="0" w:space="0" w:color="auto"/>
        <w:bottom w:val="none" w:sz="0" w:space="0" w:color="auto"/>
        <w:right w:val="none" w:sz="0" w:space="0" w:color="auto"/>
      </w:divBdr>
    </w:div>
    <w:div w:id="1955407991">
      <w:bodyDiv w:val="1"/>
      <w:marLeft w:val="0"/>
      <w:marRight w:val="0"/>
      <w:marTop w:val="0"/>
      <w:marBottom w:val="0"/>
      <w:divBdr>
        <w:top w:val="none" w:sz="0" w:space="0" w:color="auto"/>
        <w:left w:val="none" w:sz="0" w:space="0" w:color="auto"/>
        <w:bottom w:val="none" w:sz="0" w:space="0" w:color="auto"/>
        <w:right w:val="none" w:sz="0" w:space="0" w:color="auto"/>
      </w:divBdr>
    </w:div>
    <w:div w:id="2053310181">
      <w:bodyDiv w:val="1"/>
      <w:marLeft w:val="0"/>
      <w:marRight w:val="0"/>
      <w:marTop w:val="0"/>
      <w:marBottom w:val="0"/>
      <w:divBdr>
        <w:top w:val="none" w:sz="0" w:space="0" w:color="auto"/>
        <w:left w:val="none" w:sz="0" w:space="0" w:color="auto"/>
        <w:bottom w:val="none" w:sz="0" w:space="0" w:color="auto"/>
        <w:right w:val="none" w:sz="0" w:space="0" w:color="auto"/>
      </w:divBdr>
    </w:div>
    <w:div w:id="2063478108">
      <w:bodyDiv w:val="1"/>
      <w:marLeft w:val="0"/>
      <w:marRight w:val="0"/>
      <w:marTop w:val="0"/>
      <w:marBottom w:val="0"/>
      <w:divBdr>
        <w:top w:val="none" w:sz="0" w:space="0" w:color="auto"/>
        <w:left w:val="none" w:sz="0" w:space="0" w:color="auto"/>
        <w:bottom w:val="none" w:sz="0" w:space="0" w:color="auto"/>
        <w:right w:val="none" w:sz="0" w:space="0" w:color="auto"/>
      </w:divBdr>
    </w:div>
    <w:div w:id="2064481998">
      <w:bodyDiv w:val="1"/>
      <w:marLeft w:val="0"/>
      <w:marRight w:val="0"/>
      <w:marTop w:val="0"/>
      <w:marBottom w:val="0"/>
      <w:divBdr>
        <w:top w:val="none" w:sz="0" w:space="0" w:color="auto"/>
        <w:left w:val="none" w:sz="0" w:space="0" w:color="auto"/>
        <w:bottom w:val="none" w:sz="0" w:space="0" w:color="auto"/>
        <w:right w:val="none" w:sz="0" w:space="0" w:color="auto"/>
      </w:divBdr>
    </w:div>
    <w:div w:id="2073963178">
      <w:bodyDiv w:val="1"/>
      <w:marLeft w:val="0"/>
      <w:marRight w:val="0"/>
      <w:marTop w:val="0"/>
      <w:marBottom w:val="0"/>
      <w:divBdr>
        <w:top w:val="none" w:sz="0" w:space="0" w:color="auto"/>
        <w:left w:val="none" w:sz="0" w:space="0" w:color="auto"/>
        <w:bottom w:val="none" w:sz="0" w:space="0" w:color="auto"/>
        <w:right w:val="none" w:sz="0" w:space="0" w:color="auto"/>
      </w:divBdr>
    </w:div>
    <w:div w:id="2103452921">
      <w:bodyDiv w:val="1"/>
      <w:marLeft w:val="0"/>
      <w:marRight w:val="0"/>
      <w:marTop w:val="0"/>
      <w:marBottom w:val="0"/>
      <w:divBdr>
        <w:top w:val="none" w:sz="0" w:space="0" w:color="auto"/>
        <w:left w:val="none" w:sz="0" w:space="0" w:color="auto"/>
        <w:bottom w:val="none" w:sz="0" w:space="0" w:color="auto"/>
        <w:right w:val="none" w:sz="0" w:space="0" w:color="auto"/>
      </w:divBdr>
    </w:div>
    <w:div w:id="21344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Desktop\Zorana%20M\185546-Guidelines%20for%20grant%20applicant%20open(1)(3).docx" TargetMode="External"/><Relationship Id="rId18" Type="http://schemas.openxmlformats.org/officeDocument/2006/relationships/hyperlink" Target="file:///C:\Users\PC\Desktop\Zorana%20M\185546-Guidelines%20for%20grant%20applicant%20open(1)(3).docx" TargetMode="External"/><Relationship Id="rId26" Type="http://schemas.openxmlformats.org/officeDocument/2006/relationships/hyperlink" Target="file:///C:\Users\PC\Desktop\Zorana%20M\185546-Guidelines%20for%20grant%20applicant%20open(1)(3).docx" TargetMode="External"/><Relationship Id="rId39" Type="http://schemas.openxmlformats.org/officeDocument/2006/relationships/hyperlink" Target="https://wikis.ec.europa.eu/spaces/ExactExternalWiki/pages/152798613/2.+Basic+rules" TargetMode="External"/><Relationship Id="rId21" Type="http://schemas.openxmlformats.org/officeDocument/2006/relationships/hyperlink" Target="file:///C:\Users\PC\Desktop\Zorana%20M\185546-Guidelines%20for%20grant%20applicant%20open(1)(3).docx" TargetMode="External"/><Relationship Id="rId34" Type="http://schemas.openxmlformats.org/officeDocument/2006/relationships/hyperlink" Target="file:///C:\Users\PC\Desktop\Zorana%20M\185546-Guidelines%20for%20grant%20applicant%20open(1)(3).docx" TargetMode="External"/><Relationship Id="rId42" Type="http://schemas.openxmlformats.org/officeDocument/2006/relationships/hyperlink" Target="https://ec.europa.eu/info/funding-tenders/opportunities/portal/screen/how-to-participate/participant-register" TargetMode="External"/><Relationship Id="rId47" Type="http://schemas.openxmlformats.org/officeDocument/2006/relationships/hyperlink" Target="http://www.timeanddate.com/worldclock/converter.html" TargetMode="External"/><Relationship Id="rId50" Type="http://schemas.openxmlformats.org/officeDocument/2006/relationships/hyperlink" Target="https://ec.europa.eu/info/funding-tenders/opportunities/portal/screen/home" TargetMode="External"/><Relationship Id="rId55" Type="http://schemas.openxmlformats.org/officeDocument/2006/relationships/hyperlink" Target="https://international-partnerships.ec.europa.eu/funding/guidelines/managing-%09%09%09project/diem-rates_en"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C:\Users\PC\Desktop\Zorana%20M\185546-Guidelines%20for%20grant%20applicant%20open(1)(3).docx" TargetMode="External"/><Relationship Id="rId29" Type="http://schemas.openxmlformats.org/officeDocument/2006/relationships/hyperlink" Target="file:///C:\Users\PC\Desktop\Zorana%20M\185546-Guidelines%20for%20grant%20applicant%20open(1)(3).docx" TargetMode="External"/><Relationship Id="rId11" Type="http://schemas.openxmlformats.org/officeDocument/2006/relationships/hyperlink" Target="https://wikis.ec.europa.eu/display/ExactExternalWiki/e-Learning+Videos+-+e-Calls+PROPECT" TargetMode="External"/><Relationship Id="rId24" Type="http://schemas.openxmlformats.org/officeDocument/2006/relationships/hyperlink" Target="file:///C:\Users\PC\Desktop\Zorana%20M\185546-Guidelines%20for%20grant%20applicant%20open(1)(3).docx" TargetMode="External"/><Relationship Id="rId32" Type="http://schemas.openxmlformats.org/officeDocument/2006/relationships/hyperlink" Target="file:///C:\Users\PC\Desktop\Zorana%20M\185546-Guidelines%20for%20grant%20applicant%20open(1)(3).docx" TargetMode="External"/><Relationship Id="rId37" Type="http://schemas.openxmlformats.org/officeDocument/2006/relationships/hyperlink" Target="file:///C:\Users\PC\Desktop\Zorana%20M\185546-Guidelines%20for%20grant%20applicant%20open(1)(3).docx" TargetMode="External"/><Relationship Id="rId40" Type="http://schemas.openxmlformats.org/officeDocument/2006/relationships/hyperlink" Target="https://ec.europa.eu/international-partnerships/comm-visibility-requirements_en" TargetMode="External"/><Relationship Id="rId45" Type="http://schemas.openxmlformats.org/officeDocument/2006/relationships/hyperlink" Target="https://ec.europa.eu/budget/financial-transparency-system/index.html" TargetMode="External"/><Relationship Id="rId53" Type="http://schemas.openxmlformats.org/officeDocument/2006/relationships/hyperlink" Target="https://ec.europa.eu/info/funding-tenders/opportunities/portal/screen/home" TargetMode="External"/><Relationship Id="rId58" Type="http://schemas.openxmlformats.org/officeDocument/2006/relationships/hyperlink" Target="https://wikis.ec.europa.eu/pages/viewpage.action?pageId=48169235"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file:///C:\Users\PC\Desktop\Zorana%20M\185546-Guidelines%20for%20grant%20applicant%20open(1)(3).docx" TargetMode="External"/><Relationship Id="rId14" Type="http://schemas.openxmlformats.org/officeDocument/2006/relationships/hyperlink" Target="file:///C:\Users\PC\Desktop\Zorana%20M\185546-Guidelines%20for%20grant%20applicant%20open(1)(3).docx" TargetMode="External"/><Relationship Id="rId22" Type="http://schemas.openxmlformats.org/officeDocument/2006/relationships/hyperlink" Target="file:///C:\Users\PC\Desktop\Zorana%20M\185546-Guidelines%20for%20grant%20applicant%20open(1)(3).docx" TargetMode="External"/><Relationship Id="rId27" Type="http://schemas.openxmlformats.org/officeDocument/2006/relationships/hyperlink" Target="file:///C:\Users\PC\Desktop\Zorana%20M\185546-Guidelines%20for%20grant%20applicant%20open(1)(3).docx" TargetMode="External"/><Relationship Id="rId30" Type="http://schemas.openxmlformats.org/officeDocument/2006/relationships/hyperlink" Target="file:///C:\Users\PC\Desktop\Zorana%20M\185546-Guidelines%20for%20grant%20applicant%20open(1)(3).docx" TargetMode="External"/><Relationship Id="rId35" Type="http://schemas.openxmlformats.org/officeDocument/2006/relationships/hyperlink" Target="file:///C:\Users\PC\Desktop\Zorana%20M\185546-Guidelines%20for%20grant%20applicant%20open(1)(3).docx" TargetMode="External"/><Relationship Id="rId43" Type="http://schemas.openxmlformats.org/officeDocument/2006/relationships/hyperlink" Target="https://ec.europa.eu/info/funding-tenders/opportunities/portal/screen/how-to-participate/participant-register" TargetMode="External"/><Relationship Id="rId48" Type="http://schemas.openxmlformats.org/officeDocument/2006/relationships/hyperlink" Target="mailto:delegation-montenegro-procedures@eeas.europa.eu" TargetMode="External"/><Relationship Id="rId56" Type="http://schemas.openxmlformats.org/officeDocument/2006/relationships/hyperlink" Target="https://wikis.ec.europa.eu/display/ExactExternalWiki/ePRAG" TargetMode="External"/><Relationship Id="rId8" Type="http://schemas.openxmlformats.org/officeDocument/2006/relationships/hyperlink" Target="https://www.timeanddate.com/worldclock/converter.html" TargetMode="External"/><Relationship Id="rId51" Type="http://schemas.openxmlformats.org/officeDocument/2006/relationships/hyperlink" Target="mailto:ec-external-relations-application-support@ec.europa.eu" TargetMode="External"/><Relationship Id="rId3" Type="http://schemas.openxmlformats.org/officeDocument/2006/relationships/settings" Target="settings.xml"/><Relationship Id="rId12" Type="http://schemas.openxmlformats.org/officeDocument/2006/relationships/hyperlink" Target="file:///C:\Users\PC\Desktop\Zorana%20M\185546-Guidelines%20for%20grant%20applicant%20open(1)(3).docx" TargetMode="External"/><Relationship Id="rId17" Type="http://schemas.openxmlformats.org/officeDocument/2006/relationships/hyperlink" Target="file:///C:\Users\PC\Desktop\Zorana%20M\185546-Guidelines%20for%20grant%20applicant%20open(1)(3).docx" TargetMode="External"/><Relationship Id="rId25" Type="http://schemas.openxmlformats.org/officeDocument/2006/relationships/hyperlink" Target="file:///C:\Users\PC\Desktop\Zorana%20M\185546-Guidelines%20for%20grant%20applicant%20open(1)(3).docx" TargetMode="External"/><Relationship Id="rId33" Type="http://schemas.openxmlformats.org/officeDocument/2006/relationships/hyperlink" Target="file:///C:\Users\PC\Desktop\Zorana%20M\185546-Guidelines%20for%20grant%20applicant%20open(1)(3).docx" TargetMode="External"/><Relationship Id="rId38" Type="http://schemas.openxmlformats.org/officeDocument/2006/relationships/hyperlink" Target="https://wikis.ec.europa.eu/display/ExactExternalWiki/ePRAG" TargetMode="External"/><Relationship Id="rId46" Type="http://schemas.openxmlformats.org/officeDocument/2006/relationships/hyperlink" Target="https://webgate.ec.europa.eu/prospect" TargetMode="External"/><Relationship Id="rId59" Type="http://schemas.openxmlformats.org/officeDocument/2006/relationships/hyperlink" Target="https://ec.europa.eu/international-partnerships/financial-management-toolkit_en" TargetMode="External"/><Relationship Id="rId20" Type="http://schemas.openxmlformats.org/officeDocument/2006/relationships/hyperlink" Target="file:///C:\Users\PC\Desktop\Zorana%20M\185546-Guidelines%20for%20grant%20applicant%20open(1)(3).docx" TargetMode="External"/><Relationship Id="rId41" Type="http://schemas.openxmlformats.org/officeDocument/2006/relationships/hyperlink" Target="https://webgate.ec.europa.eu/pador" TargetMode="External"/><Relationship Id="rId54" Type="http://schemas.openxmlformats.org/officeDocument/2006/relationships/hyperlink" Target="http://ec.europa.eu/budget/explained/management/protecting/protect_en.cf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PC\Desktop\Zorana%20M\185546-Guidelines%20for%20grant%20applicant%20open(1)(3).docx" TargetMode="External"/><Relationship Id="rId23" Type="http://schemas.openxmlformats.org/officeDocument/2006/relationships/hyperlink" Target="file:///C:\Users\PC\Desktop\Zorana%20M\185546-Guidelines%20for%20grant%20applicant%20open(1)(3).docx" TargetMode="External"/><Relationship Id="rId28" Type="http://schemas.openxmlformats.org/officeDocument/2006/relationships/hyperlink" Target="file:///C:\Users\PC\Desktop\Zorana%20M\185546-Guidelines%20for%20grant%20applicant%20open(1)(3).docx" TargetMode="External"/><Relationship Id="rId36" Type="http://schemas.openxmlformats.org/officeDocument/2006/relationships/hyperlink" Target="file:///C:\Users\PC\Desktop\Zorana%20M\185546-Guidelines%20for%20grant%20applicant%20open(1)(3).docx" TargetMode="External"/><Relationship Id="rId49" Type="http://schemas.openxmlformats.org/officeDocument/2006/relationships/hyperlink" Target="https://ec.europa.eu/international-partnerships/home_fr" TargetMode="External"/><Relationship Id="rId57" Type="http://schemas.openxmlformats.org/officeDocument/2006/relationships/hyperlink" Target="https://ec.europa.eu/international-partnerships/funding/managing-project_en" TargetMode="External"/><Relationship Id="rId10" Type="http://schemas.openxmlformats.org/officeDocument/2006/relationships/hyperlink" Target="https://wikis.ec.europa.eu/display/ExactExternalWiki/Manual+for+Applicants+-+e-Calls+PROSPECT" TargetMode="External"/><Relationship Id="rId31" Type="http://schemas.openxmlformats.org/officeDocument/2006/relationships/hyperlink" Target="file:///C:\Users\PC\Desktop\Zorana%20M\185546-Guidelines%20for%20grant%20applicant%20open(1)(3).docx" TargetMode="External"/><Relationship Id="rId44" Type="http://schemas.openxmlformats.org/officeDocument/2006/relationships/hyperlink" Target="mailto:ec-external-relations-application-support@ec.europa.eu" TargetMode="External"/><Relationship Id="rId52" Type="http://schemas.openxmlformats.org/officeDocument/2006/relationships/hyperlink" Target="https://ec.europa.eu/international-partnerships/home_fr" TargetMode="External"/><Relationship Id="rId60" Type="http://schemas.openxmlformats.org/officeDocument/2006/relationships/hyperlink" Target="https://commission.europa.eu/strategy-and-policy/eu-budget/how-it-works/annual-lifecycle/implementation/anti-fraud-measures/edes_en" TargetMode="External"/><Relationship Id="rId4" Type="http://schemas.openxmlformats.org/officeDocument/2006/relationships/webSettings" Target="webSettings.xml"/><Relationship Id="rId9" Type="http://schemas.openxmlformats.org/officeDocument/2006/relationships/hyperlink" Target="mailto:delegation-montenegro-fcs@eeas.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2848-2020-INIT/en/pdf" TargetMode="External"/><Relationship Id="rId7" Type="http://schemas.openxmlformats.org/officeDocument/2006/relationships/hyperlink" Target="http://www.timeanddate.com/worldclock/converter.html" TargetMode="External"/><Relationship Id="rId2" Type="http://schemas.openxmlformats.org/officeDocument/2006/relationships/hyperlink" Target="mailto:ec-external-relations-application-support@ec.europa.eu" TargetMode="External"/><Relationship Id="rId1" Type="http://schemas.openxmlformats.org/officeDocument/2006/relationships/hyperlink" Target="http://www.timeanddate.com/worldclock/converter.html" TargetMode="External"/><Relationship Id="rId6" Type="http://schemas.openxmlformats.org/officeDocument/2006/relationships/hyperlink" Target="https://ec.europa.eu/info/funding-tenders/opportunities/docs/2021-2027/common/guidance/unit-cost-decision" TargetMode="External"/><Relationship Id="rId5" Type="http://schemas.openxmlformats.org/officeDocument/2006/relationships/hyperlink" Target="https://eur-lex.europa.eu/legal-content/EN/TXT/PDF/?uri=CELEX:32018R1046&amp;from=EN" TargetMode="External"/><Relationship Id="rId4" Type="http://schemas.openxmlformats.org/officeDocument/2006/relationships/hyperlink" Target="https://data.consilium.europa.eu/doc/document/ST-9508-2024-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1</Pages>
  <Words>13537</Words>
  <Characters>77162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Zorana Marković</cp:lastModifiedBy>
  <cp:revision>77</cp:revision>
  <dcterms:created xsi:type="dcterms:W3CDTF">2026-03-27T12:58:00Z</dcterms:created>
  <dcterms:modified xsi:type="dcterms:W3CDTF">2026-03-31T11:05:00Z</dcterms:modified>
</cp:coreProperties>
</file>